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F" w:rsidRDefault="004B33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335F" w:rsidRDefault="004B335F">
      <w:pPr>
        <w:pStyle w:val="ConsPlusNormal"/>
        <w:jc w:val="both"/>
        <w:outlineLvl w:val="0"/>
      </w:pPr>
    </w:p>
    <w:p w:rsidR="004B335F" w:rsidRDefault="004B335F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4B335F" w:rsidRDefault="004B335F">
      <w:pPr>
        <w:pStyle w:val="ConsPlusTitle"/>
        <w:jc w:val="center"/>
      </w:pPr>
      <w:r>
        <w:t>ХОЗЯЙСТВА РОССИЙСКОЙ ФЕДЕРАЦИИ</w:t>
      </w:r>
    </w:p>
    <w:p w:rsidR="004B335F" w:rsidRDefault="004B335F">
      <w:pPr>
        <w:pStyle w:val="ConsPlusTitle"/>
        <w:jc w:val="both"/>
      </w:pPr>
    </w:p>
    <w:p w:rsidR="004B335F" w:rsidRDefault="004B335F">
      <w:pPr>
        <w:pStyle w:val="ConsPlusTitle"/>
        <w:jc w:val="center"/>
      </w:pPr>
      <w:r>
        <w:t>ПРИКАЗ</w:t>
      </w:r>
    </w:p>
    <w:p w:rsidR="004B335F" w:rsidRDefault="004B335F">
      <w:pPr>
        <w:pStyle w:val="ConsPlusTitle"/>
        <w:jc w:val="center"/>
      </w:pPr>
      <w:r>
        <w:t>от 31 октября 2017 г. N 1494/</w:t>
      </w:r>
      <w:proofErr w:type="gramStart"/>
      <w:r>
        <w:t>пр</w:t>
      </w:r>
      <w:proofErr w:type="gramEnd"/>
    </w:p>
    <w:p w:rsidR="004B335F" w:rsidRDefault="004B335F">
      <w:pPr>
        <w:pStyle w:val="ConsPlusTitle"/>
        <w:jc w:val="both"/>
      </w:pPr>
    </w:p>
    <w:p w:rsidR="004B335F" w:rsidRDefault="004B335F">
      <w:pPr>
        <w:pStyle w:val="ConsPlusTitle"/>
        <w:jc w:val="center"/>
      </w:pPr>
      <w:r>
        <w:t>ОБ УТВЕРЖДЕНИИ МЕТОДИКИ</w:t>
      </w:r>
    </w:p>
    <w:p w:rsidR="004B335F" w:rsidRDefault="004B335F">
      <w:pPr>
        <w:pStyle w:val="ConsPlusTitle"/>
        <w:jc w:val="center"/>
      </w:pPr>
      <w:r>
        <w:t xml:space="preserve">ОПРЕДЕЛЕНИЯ ИНДЕКСА КАЧЕСТВА ГОРОДСКОЙ СРЕДЫ </w:t>
      </w:r>
      <w:proofErr w:type="gramStart"/>
      <w:r>
        <w:t>МУНИЦИПАЛЬНЫХ</w:t>
      </w:r>
      <w:proofErr w:type="gramEnd"/>
    </w:p>
    <w:p w:rsidR="004B335F" w:rsidRDefault="004B335F">
      <w:pPr>
        <w:pStyle w:val="ConsPlusTitle"/>
        <w:jc w:val="center"/>
      </w:pPr>
      <w:r>
        <w:t>ОБРАЗОВАНИЙ РОССИЙСКОЙ ФЕДЕРАЦИИ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пункта 33 раздела 5</w:t>
        </w:r>
      </w:hyperlink>
      <w:r>
        <w:t xml:space="preserve"> паспорта приоритетного проекта "Формирование комфортной городской среды", утвержденного президиумом Совета при Президенте Российской Федерации по стратегическому развитию и приоритетным проектам (протокол от 21 ноября 2016 г. N 10 (в редакции протоколов от 18 апреля 2017 г. N 5, от 30 августа 2017 г. N 9), в целях подготовки ежегодного рейтинга субъектов Российской Федерации по</w:t>
      </w:r>
      <w:proofErr w:type="gramEnd"/>
      <w:r>
        <w:t xml:space="preserve"> качеству городской среды приказываю: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определения индекса качества городской среды муниципальных образований Российской</w:t>
      </w:r>
      <w:proofErr w:type="gramEnd"/>
      <w:r>
        <w:t xml:space="preserve"> Федерации (далее - Методика) согласно приложению к настоящему приказу.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2. Департаменту городской среды в срок до 1 декабря 2017 г. обеспечить подготовку и принятие приказа о межведомственной комиссии по подготовке индекса качества городской среды (далее - Межведомственная комиссия).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Определить Департамент городской среды ответственным за подготовку в соответствии с </w:t>
      </w:r>
      <w:hyperlink w:anchor="P33" w:history="1">
        <w:r>
          <w:rPr>
            <w:color w:val="0000FF"/>
          </w:rPr>
          <w:t>Методикой</w:t>
        </w:r>
      </w:hyperlink>
      <w:r>
        <w:t xml:space="preserve"> индекса качества городской среды муниципальных образований Российской Федерации и субъектов Российской Федерации и представление на рассмотрение Межведомственной комиссии сводного отчета, содержащего сведения об индексах муниципальных образований Российской Федерации, субъектов Российской Федерации, а также иные материалы, необходимые для принятия решения об индексах применительно к муниципальному образованию, субъекту Российской Федерации.</w:t>
      </w:r>
      <w:proofErr w:type="gramEnd"/>
    </w:p>
    <w:p w:rsidR="004B335F" w:rsidRDefault="004B335F">
      <w:pPr>
        <w:pStyle w:val="ConsPlusNormal"/>
        <w:spacing w:before="280"/>
        <w:ind w:firstLine="540"/>
        <w:jc w:val="both"/>
      </w:pPr>
      <w:r>
        <w:t>4. Установить, что:</w:t>
      </w:r>
    </w:p>
    <w:p w:rsidR="004B335F" w:rsidRDefault="004B335F">
      <w:pPr>
        <w:pStyle w:val="ConsPlusNormal"/>
        <w:spacing w:before="280"/>
        <w:ind w:firstLine="540"/>
        <w:jc w:val="both"/>
      </w:pPr>
      <w:proofErr w:type="gramStart"/>
      <w:r>
        <w:t xml:space="preserve">а) в отношении населенных пунктов, имеющих статус города, значения индикаторов, предусмотренных </w:t>
      </w:r>
      <w:hyperlink w:anchor="P1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90" w:history="1">
        <w:r>
          <w:rPr>
            <w:color w:val="0000FF"/>
          </w:rPr>
          <w:t>30</w:t>
        </w:r>
      </w:hyperlink>
      <w:r>
        <w:t xml:space="preserve"> таблицы N 1 приложения к Методике, определяются на основе данных, представляемых некоммерческой </w:t>
      </w:r>
      <w:r>
        <w:lastRenderedPageBreak/>
        <w:t>организацией "Фонд единого института развития в жилищной сфере";</w:t>
      </w:r>
      <w:proofErr w:type="gramEnd"/>
    </w:p>
    <w:p w:rsidR="004B335F" w:rsidRDefault="004B335F">
      <w:pPr>
        <w:pStyle w:val="ConsPlusNormal"/>
        <w:spacing w:before="280"/>
        <w:ind w:firstLine="540"/>
        <w:jc w:val="both"/>
      </w:pPr>
      <w:r>
        <w:t>б) индекс качества городской среды в 2017 - 2018 годах определяется для муниципальных образований, в которые входят населенные пункты с численностью свыше 1 000 человек.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right"/>
      </w:pPr>
      <w:r>
        <w:t>Министр</w:t>
      </w:r>
    </w:p>
    <w:p w:rsidR="004B335F" w:rsidRDefault="004B335F">
      <w:pPr>
        <w:pStyle w:val="ConsPlusNormal"/>
        <w:jc w:val="right"/>
      </w:pPr>
      <w:r>
        <w:t>М.А.МЕНЬ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right"/>
        <w:outlineLvl w:val="0"/>
      </w:pPr>
      <w:r>
        <w:t>Утверждена</w:t>
      </w:r>
    </w:p>
    <w:p w:rsidR="004B335F" w:rsidRDefault="004B335F">
      <w:pPr>
        <w:pStyle w:val="ConsPlusNormal"/>
        <w:jc w:val="right"/>
      </w:pPr>
      <w:r>
        <w:t>приказом Министерства строительства</w:t>
      </w:r>
    </w:p>
    <w:p w:rsidR="004B335F" w:rsidRDefault="004B335F">
      <w:pPr>
        <w:pStyle w:val="ConsPlusNormal"/>
        <w:jc w:val="right"/>
      </w:pPr>
      <w:r>
        <w:t>и жилищно-коммунального хозяйства</w:t>
      </w:r>
    </w:p>
    <w:p w:rsidR="004B335F" w:rsidRDefault="004B335F">
      <w:pPr>
        <w:pStyle w:val="ConsPlusNormal"/>
        <w:jc w:val="right"/>
      </w:pPr>
      <w:r>
        <w:t>Российской Федерации</w:t>
      </w:r>
    </w:p>
    <w:p w:rsidR="004B335F" w:rsidRDefault="004B335F">
      <w:pPr>
        <w:pStyle w:val="ConsPlusNormal"/>
        <w:jc w:val="right"/>
      </w:pPr>
      <w:r>
        <w:t>от 31 октября 2017 г. N 1494/</w:t>
      </w:r>
      <w:proofErr w:type="gramStart"/>
      <w:r>
        <w:t>пр</w:t>
      </w:r>
      <w:proofErr w:type="gramEnd"/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Title"/>
        <w:jc w:val="center"/>
      </w:pPr>
      <w:bookmarkStart w:id="0" w:name="P33"/>
      <w:bookmarkEnd w:id="0"/>
      <w:r>
        <w:t>МЕТОДИКА</w:t>
      </w:r>
    </w:p>
    <w:p w:rsidR="004B335F" w:rsidRDefault="004B335F">
      <w:pPr>
        <w:pStyle w:val="ConsPlusTitle"/>
        <w:jc w:val="center"/>
      </w:pPr>
      <w:r>
        <w:t xml:space="preserve">ОПРЕДЕЛЕНИЯ ИНДЕКСА КАЧЕСТВА ГОРОДСКОЙ СРЕДЫ </w:t>
      </w:r>
      <w:proofErr w:type="gramStart"/>
      <w:r>
        <w:t>МУНИЦИПАЛЬНЫХ</w:t>
      </w:r>
      <w:proofErr w:type="gramEnd"/>
    </w:p>
    <w:p w:rsidR="004B335F" w:rsidRDefault="004B335F">
      <w:pPr>
        <w:pStyle w:val="ConsPlusTitle"/>
        <w:jc w:val="center"/>
      </w:pPr>
      <w:r>
        <w:t>ОБРАЗОВАНИЙ РОССИЙСКОЙ ФЕДЕРАЦИИ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Title"/>
        <w:jc w:val="center"/>
        <w:outlineLvl w:val="1"/>
      </w:pPr>
      <w:r>
        <w:t>1. Общие положения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Настоящая методика предназначена для определения уровня качества городской среды муниципальных образований, в том числе муниципальных образований, в состав которых входят населенные пункты, имеющие статус города (далее - муниципальное образование), путем расчета и присвоения им индекса качества городской среды муниципального образования, а также для определения уровня качества городской среды на территории субъекта Российской Федерации путем расчета интегрированного индекса, основанного на индексах качества</w:t>
      </w:r>
      <w:proofErr w:type="gramEnd"/>
      <w:r>
        <w:t xml:space="preserve"> городской среды, </w:t>
      </w:r>
      <w:proofErr w:type="gramStart"/>
      <w:r>
        <w:t>присвоенных</w:t>
      </w:r>
      <w:proofErr w:type="gramEnd"/>
      <w:r>
        <w:t xml:space="preserve"> муниципальным образованиям, находящимся на территории соответствующего субъекта Российской Федерации.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1.2. Городская среда характеризуется совокупностью природных, архитектурно-планировочных, экологических и других факторов, формирующих среду обитания на определенной территории и определяющих комфортность проживания на этой территории. В настоящем документе </w:t>
      </w:r>
      <w:r>
        <w:lastRenderedPageBreak/>
        <w:t>понятие "городская среда" используется применительно к городам, городским округам, городским поселениям, а также к сельским поселениям.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1.3. Индекс качества городской среды муниципального образования (далее - Индекс) представляет собой цифровое значение состояния городской среды населенных пунктов, входящих в муниципальное образование, полученное в результате комплексной оценки количественных и поддающихся измерению показателей, характеризующих уровень комфорта проживания на соответствующей территории (далее - индикаторы).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1.4. Целями формирования Индекса являются: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а) определение текущего состояния городской среды, в том числе выявление конкурентных преимуществ муниципальных образований и ограничений, препятствующих его развитию, актуальных проблем, перспективных направлений развития;</w:t>
      </w:r>
    </w:p>
    <w:p w:rsidR="004B335F" w:rsidRDefault="004B335F">
      <w:pPr>
        <w:pStyle w:val="ConsPlusNormal"/>
        <w:spacing w:before="280"/>
        <w:ind w:firstLine="540"/>
        <w:jc w:val="both"/>
      </w:pPr>
      <w:proofErr w:type="gramStart"/>
      <w:r>
        <w:t>б) формирование системы мониторинга процессов в сфере развития городской среды с использованием набора объективных индикаторов, направленной на обеспечение обоснованности принимаемых на федеральном, региональном и муниципальном уровнях власти решений в сфере развития городской среды, в том числе поддержку и вовлечение в принятие этих решений граждан;</w:t>
      </w:r>
      <w:proofErr w:type="gramEnd"/>
    </w:p>
    <w:p w:rsidR="004B335F" w:rsidRDefault="004B335F">
      <w:pPr>
        <w:pStyle w:val="ConsPlusNormal"/>
        <w:spacing w:before="280"/>
        <w:ind w:firstLine="540"/>
        <w:jc w:val="both"/>
      </w:pPr>
      <w:r>
        <w:t>в) подготовка ежегодного рейтинга субъектов Российской Федерации по качеству городской среды, сформированного в соответствии с уровнем качества городской среды в муниципальных образованиях, расположенных на территории соответствующего субъекта Российской Федерации;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г) обеспечение </w:t>
      </w:r>
      <w:proofErr w:type="gramStart"/>
      <w:r>
        <w:t>возможности сопоставления условий жизни населения</w:t>
      </w:r>
      <w:proofErr w:type="gramEnd"/>
      <w:r>
        <w:t xml:space="preserve"> в различных муниципальных образованиях и в различных субъектах Российской Федерации;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д) повышение открытости для граждан и общественности результатов работы органов власти в сфере развития городской среды и создание основы для оценки эффективности их работы в этой сфере, в том числе в рамках реализации приоритетного проекта;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е) стимулирование граждан, представителей бизнеса к их вовлечению в реализацию мероприятий по благоустройству муниципальных образований.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1.5. Индекс формируется исходя из следующих основных подходов: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а) информация, используемая для расчета Индекса, является актуальной, постоянно обновляемой, достоверной и верифицируемой, </w:t>
      </w:r>
      <w:proofErr w:type="gramStart"/>
      <w:r>
        <w:t>содержащейся</w:t>
      </w:r>
      <w:proofErr w:type="gramEnd"/>
      <w:r>
        <w:t xml:space="preserve"> в том числе в государственных информационных системах;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lastRenderedPageBreak/>
        <w:t>б) свободный доступ к информации об Индексе, в том числе к информации, на основании которой он был сформирован, неопределенного круга лиц;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в) осуществление оценки на основе комплексного анализа, позволяющего получить наиболее полное представление </w:t>
      </w:r>
      <w:proofErr w:type="gramStart"/>
      <w:r>
        <w:t>о</w:t>
      </w:r>
      <w:proofErr w:type="gramEnd"/>
      <w:r>
        <w:t xml:space="preserve"> всех наиболее значимых составляющих городской среды муниципального образования;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г) использование только рассчитываемых индикаторов, исключающее субъективный характер оценки и обеспечивающее их достоверность и объективность.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1.6. Для расчета индикаторов используются данные, содержащиеся в следующих государственных информационных системах, а также в открытых источниках: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а) государственная информационная система ЖКХ (ГИС ЖКХ);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б) официальная статистическая информация (http://www.gks.ru);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в) информация из открытых источников (Yandex, Google, 2GIS, Вконтакте, OpenStreetMap, данные дистанционного зондирования земли Copernicus Open Access Hub, ГЛОНАСС, GPS, Реформа ЖКХ).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Title"/>
        <w:jc w:val="center"/>
        <w:outlineLvl w:val="1"/>
      </w:pPr>
      <w:r>
        <w:t>2. Описание структуры Индекса и порядок его присвоения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r>
        <w:t>2.1. Индекс оценивает городскую среду в целом, во всей ее полноте, поэтому при его подсчете используется информация, относящаяся к различным аспектам функционирования муниципального образования.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2.2. Расчет Индекса осуществляется на основании значений индикаторов, указанных в </w:t>
      </w:r>
      <w:hyperlink w:anchor="P110" w:history="1">
        <w:r>
          <w:rPr>
            <w:color w:val="0000FF"/>
          </w:rPr>
          <w:t>таблице N 1</w:t>
        </w:r>
      </w:hyperlink>
      <w:r>
        <w:t xml:space="preserve"> приложения к настоящей Методике.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2.3. Общим требованием к индикаторам является возможность их определения или расчета с использованием массивов информации, содержащихся в государственных информационных системах, открытых источниках. Информация необходимая для формирования каждого индикатора должна быть равно доступной для всех территорий населенных пунктов, входящих в состав муниципального образования.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2.4. Индикаторы, предусмотренные </w:t>
      </w:r>
      <w:hyperlink w:anchor="P1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90" w:history="1">
        <w:r>
          <w:rPr>
            <w:color w:val="0000FF"/>
          </w:rPr>
          <w:t>30</w:t>
        </w:r>
      </w:hyperlink>
      <w:r>
        <w:t xml:space="preserve"> N 1 таблицы приложения к настоящей Методике, применяются при расчете Индекса по следующим направлениям: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а) индикаторы, определяющие общий уровень угрозы для жизни и здоровья пребывающих в пространстве муниципального образования людей </w:t>
      </w:r>
      <w:r>
        <w:lastRenderedPageBreak/>
        <w:t>в связи с разного рода рисками, вызванными несовершенством его инфраструктуры или наличием социальных проблем;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б) индикаторы, позволяющие оценить уровень бытового, повседневного комфорта и удобства, которые муниципальное образование обеспечивает для жителей и гостей;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в) индикаторы, определяющие, в какой мере использование территории муниципального образования соответствует принципу сохранения и улучшения окружающей" среды, а также измеряющие состояние экологии на момент оценки;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г) индикаторы, отвечающие за оценку своеобразия и узнаваемости территорий, а также определяющие вариативность пространственных решений и функциональное разнообразие городской среды;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д) индикаторы, измеряющие параметры, которые описывают муниципальное образование с точки зрения возможностей, которые оно предоставляет жителям. Показатели позволяют определить, используется ли устаревшая модель производства среды или новую модель, в которой одна из базовых ценностей развития города.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2.5. </w:t>
      </w:r>
      <w:proofErr w:type="gramStart"/>
      <w:r>
        <w:t xml:space="preserve">В отношении муниципальных образований, включающих в себя населенные пункты, имеющие статус города, Индекс определяется на основании значений Индикаторов, предусмотренных </w:t>
      </w:r>
      <w:hyperlink w:anchor="P1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90" w:history="1">
        <w:r>
          <w:rPr>
            <w:color w:val="0000FF"/>
          </w:rPr>
          <w:t>30</w:t>
        </w:r>
      </w:hyperlink>
      <w:r>
        <w:t xml:space="preserve"> таблицы N 1 приложения к настоящей Методике, рассчитанных в отношении населенных пунктов, имеющих статус города, а также Индикаторов, предусмотренных </w:t>
      </w:r>
      <w:hyperlink w:anchor="P501" w:history="1">
        <w:r>
          <w:rPr>
            <w:color w:val="0000FF"/>
          </w:rPr>
          <w:t>пунктами 31</w:t>
        </w:r>
      </w:hyperlink>
      <w:r>
        <w:t xml:space="preserve"> - </w:t>
      </w:r>
      <w:hyperlink w:anchor="P619" w:history="1">
        <w:r>
          <w:rPr>
            <w:color w:val="0000FF"/>
          </w:rPr>
          <w:t>41</w:t>
        </w:r>
      </w:hyperlink>
      <w:r>
        <w:t xml:space="preserve"> таблицы N 1 приложения, рассчитанных в отношении муниципальных образований в целом, по следующей формуле:</w:t>
      </w:r>
      <w:proofErr w:type="gramEnd"/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r w:rsidRPr="00DF70DA">
        <w:rPr>
          <w:position w:val="-18"/>
        </w:rPr>
        <w:pict>
          <v:shape id="_x0000_i1025" style="width:214.5pt;height:33pt" coordsize="" o:spt="100" adj="0,,0" path="" filled="f" stroked="f">
            <v:stroke joinstyle="miter"/>
            <v:imagedata r:id="rId7" o:title="base_1_282529_32768"/>
            <v:formulas/>
            <v:path o:connecttype="segments"/>
          </v:shape>
        </w:pic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r>
        <w:t xml:space="preserve">2.6. В отношении муниципальных образований, не имеющих в составе населенных пунктов со статусом город, Индекс определяется на основании значений Индикаторов, предусмотренных </w:t>
      </w:r>
      <w:hyperlink w:anchor="P12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38" w:history="1">
        <w:r>
          <w:rPr>
            <w:color w:val="0000FF"/>
          </w:rPr>
          <w:t>2</w:t>
        </w:r>
      </w:hyperlink>
      <w:r>
        <w:t xml:space="preserve">, </w:t>
      </w:r>
      <w:hyperlink w:anchor="P208" w:history="1">
        <w:r>
          <w:rPr>
            <w:color w:val="0000FF"/>
          </w:rPr>
          <w:t>7</w:t>
        </w:r>
      </w:hyperlink>
      <w:r>
        <w:t xml:space="preserve">, </w:t>
      </w:r>
      <w:hyperlink w:anchor="P266" w:history="1">
        <w:r>
          <w:rPr>
            <w:color w:val="0000FF"/>
          </w:rPr>
          <w:t>12</w:t>
        </w:r>
      </w:hyperlink>
      <w:r>
        <w:t xml:space="preserve">, </w:t>
      </w:r>
      <w:hyperlink w:anchor="P315" w:history="1">
        <w:r>
          <w:rPr>
            <w:color w:val="0000FF"/>
          </w:rPr>
          <w:t>16</w:t>
        </w:r>
      </w:hyperlink>
      <w:r>
        <w:t xml:space="preserve">, </w:t>
      </w:r>
      <w:hyperlink w:anchor="P466" w:history="1">
        <w:r>
          <w:rPr>
            <w:color w:val="0000FF"/>
          </w:rPr>
          <w:t>28</w:t>
        </w:r>
      </w:hyperlink>
      <w:r>
        <w:t xml:space="preserve"> таблицы N 1 приложения к настоящей Методике, по следующей формуле: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r w:rsidRPr="00DF70DA">
        <w:rPr>
          <w:position w:val="-18"/>
        </w:rPr>
        <w:pict>
          <v:shape id="_x0000_i1026" style="width:261.75pt;height:33pt" coordsize="" o:spt="100" adj="0,,0" path="" filled="f" stroked="f">
            <v:stroke joinstyle="miter"/>
            <v:imagedata r:id="rId8" o:title="base_1_282529_32769"/>
            <v:formulas/>
            <v:path o:connecttype="segments"/>
          </v:shape>
        </w:pic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r>
        <w:t xml:space="preserve">2.7. Индикаторы, предусмотренные </w:t>
      </w:r>
      <w:hyperlink w:anchor="P1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90" w:history="1">
        <w:r>
          <w:rPr>
            <w:color w:val="0000FF"/>
          </w:rPr>
          <w:t>30</w:t>
        </w:r>
      </w:hyperlink>
      <w:r>
        <w:t xml:space="preserve"> таблицы N 1 приложения к настоящей Методике, в отношении населенных пунктов, имеющих статус города, рассчитываются применительно к следующим территориям города: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lastRenderedPageBreak/>
        <w:t xml:space="preserve">а) индикаторы, предусмотренные </w:t>
      </w:r>
      <w:hyperlink w:anchor="P1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78" w:history="1">
        <w:r>
          <w:rPr>
            <w:color w:val="0000FF"/>
          </w:rPr>
          <w:t>5</w:t>
        </w:r>
      </w:hyperlink>
      <w:r>
        <w:t xml:space="preserve"> таблицы N 1 приложения к настоящей Методике, оценивают состояние среды жилья и прилегающих пространств (жилые дома и придомовые территории);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б) индикаторы, предусмотренные </w:t>
      </w:r>
      <w:hyperlink w:anchor="P193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242" w:history="1">
        <w:r>
          <w:rPr>
            <w:color w:val="0000FF"/>
          </w:rPr>
          <w:t>10</w:t>
        </w:r>
      </w:hyperlink>
      <w:r>
        <w:t xml:space="preserve"> таблицы N 1 приложения к настоящей Методике, оценивают состояние среды уличной инфраструктуры, а именно городские улицы разного типа, включая территории между фасадами зданий, за исключением дорожного полотна. </w:t>
      </w:r>
      <w:proofErr w:type="gramStart"/>
      <w:r>
        <w:t>Уличная инфраструктура оценивается отдельно и вне зависимости от расположения в том или ином пространстве города;</w:t>
      </w:r>
      <w:proofErr w:type="gramEnd"/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в) индикаторы, предусмотренные </w:t>
      </w:r>
      <w:hyperlink w:anchor="P25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300" w:history="1">
        <w:r>
          <w:rPr>
            <w:color w:val="0000FF"/>
          </w:rPr>
          <w:t>15</w:t>
        </w:r>
      </w:hyperlink>
      <w:r>
        <w:t xml:space="preserve"> таблицы N 1 приложения к настоящей Методике, оценивают состояние среды озелененных и прибрежных пространств, а именно территории города, покрытые растительностью, включая парки, скверы, леса, а также территории, прилегающие к городским водоемам;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г) индикаторы, предусмотренные </w:t>
      </w:r>
      <w:hyperlink w:anchor="P31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68" w:history="1">
        <w:r>
          <w:rPr>
            <w:color w:val="0000FF"/>
          </w:rPr>
          <w:t>20</w:t>
        </w:r>
      </w:hyperlink>
      <w:r>
        <w:t xml:space="preserve"> таблицы N 1 приложения к настоящей Методике, оценивают состояние среды общественно-деловой инфраструктуры и прилегающих пространств, а именно, территории, примыкающие к административным, деловым, торговым объектам, а также места общественного питания, объекты сервиса и услуг;</w:t>
      </w:r>
    </w:p>
    <w:p w:rsidR="004B335F" w:rsidRDefault="004B335F">
      <w:pPr>
        <w:pStyle w:val="ConsPlusNormal"/>
        <w:spacing w:before="280"/>
        <w:ind w:firstLine="540"/>
        <w:jc w:val="both"/>
      </w:pPr>
      <w:proofErr w:type="gramStart"/>
      <w:r>
        <w:t xml:space="preserve">д) индикаторы, предусмотренные </w:t>
      </w:r>
      <w:hyperlink w:anchor="P377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419" w:history="1">
        <w:r>
          <w:rPr>
            <w:color w:val="0000FF"/>
          </w:rPr>
          <w:t>25</w:t>
        </w:r>
      </w:hyperlink>
      <w:r>
        <w:t xml:space="preserve"> таблицы N 1 приложения к настоящей Методике, оценивают состояние среды социально-досуговой инфраструктуры и прилегающих пространств, а именно территории, примыкающие к воспитательно-образовательным (ясли, школы, вузы), медицинским и здравоохранительным учреждениям (больницы, оздоровительные лагеря, профилактории), к объектам спорта и рекреации (базы отдыха, стадионы, спортивные площадки и комплексы), к учреждениям культуры (кинотеатры, музеи, выставочные площадки), а также к</w:t>
      </w:r>
      <w:proofErr w:type="gramEnd"/>
      <w:r>
        <w:t xml:space="preserve"> объектам религиозного назначения;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е) индикаторы, предусмотренные </w:t>
      </w:r>
      <w:hyperlink w:anchor="P439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490" w:history="1">
        <w:r>
          <w:rPr>
            <w:color w:val="0000FF"/>
          </w:rPr>
          <w:t>30</w:t>
        </w:r>
      </w:hyperlink>
      <w:r>
        <w:t xml:space="preserve"> таблицы N 1 приложения к настоящей Методике, оценивают состояние среды общегородского пространства, включающего всю территорию в административных границах населенного пункта. Введение этого пространства необходимо для оценки общегородских характеристик качества среды, не относящихся напрямую ни к одному из типов пространств.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2.8. Индикаторы, предусмотренные </w:t>
      </w:r>
      <w:hyperlink w:anchor="P501" w:history="1">
        <w:r>
          <w:rPr>
            <w:color w:val="0000FF"/>
          </w:rPr>
          <w:t>пунктами 31</w:t>
        </w:r>
      </w:hyperlink>
      <w:r>
        <w:t xml:space="preserve"> - </w:t>
      </w:r>
      <w:hyperlink w:anchor="P607" w:history="1">
        <w:r>
          <w:rPr>
            <w:color w:val="0000FF"/>
          </w:rPr>
          <w:t>40</w:t>
        </w:r>
      </w:hyperlink>
      <w:r>
        <w:t xml:space="preserve"> N 1 таблицы приложения к настоящей Методике представляют собой: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а) индикаторы, позволяющие оценить степень участия граждан и организаций в реализации приоритетного проекта, качество взаимодействия </w:t>
      </w:r>
      <w:r>
        <w:lastRenderedPageBreak/>
        <w:t>органов власти и населения в области благоустройства;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б) индикаторы, позволяющие оценить эффективность исполнения субъектами Российской Федерации, муниципальными образованиями обязательств, взятых в рамках соглашений на 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среды, заключенных с Минстроем России.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2.9. Индикатор, предусмотренный </w:t>
      </w:r>
      <w:hyperlink w:anchor="P619" w:history="1">
        <w:r>
          <w:rPr>
            <w:color w:val="0000FF"/>
          </w:rPr>
          <w:t>пунктом 41</w:t>
        </w:r>
      </w:hyperlink>
      <w:r>
        <w:t xml:space="preserve"> таблицы N 1 приложения к настоящей Методике, применяется при расчете Индекса в отношении муниципальных образований с численностью населения свыше 1000 человек, являющихся получателями в 2017 году субсидии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4B335F" w:rsidRDefault="004B335F">
      <w:pPr>
        <w:pStyle w:val="ConsPlusNormal"/>
        <w:spacing w:before="280"/>
        <w:ind w:firstLine="540"/>
        <w:jc w:val="both"/>
      </w:pPr>
      <w:bookmarkStart w:id="1" w:name="P89"/>
      <w:bookmarkEnd w:id="1"/>
      <w:r>
        <w:t xml:space="preserve">2.10. По результатам оценки каждого муниципального образования с использованием автоматизированной системы формируется лист оценки по форме согласно </w:t>
      </w:r>
      <w:hyperlink w:anchor="P636" w:history="1">
        <w:r>
          <w:rPr>
            <w:color w:val="0000FF"/>
          </w:rPr>
          <w:t>таблице N 2</w:t>
        </w:r>
      </w:hyperlink>
      <w:r>
        <w:t xml:space="preserve"> приложения к настоящей Методике, отражающий конкретные цифровые показатели, присвоенные муниципальному образованию по соответствующим индикаторам (далее - лист оценки населенного пункта).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 xml:space="preserve">2.11. На основании листов оценок муниципальных образований, сформированных в соответствии с </w:t>
      </w:r>
      <w:hyperlink w:anchor="P89" w:history="1">
        <w:r>
          <w:rPr>
            <w:color w:val="0000FF"/>
          </w:rPr>
          <w:t>пунктом 2.10</w:t>
        </w:r>
      </w:hyperlink>
      <w:r>
        <w:t xml:space="preserve"> настоящей Методики, с использованием автоматизированной системы формируется Индекс по конкретному субъекту Российской Федерации и соответствующий лист оценки субъекта Российской Федерации по форме согласно </w:t>
      </w:r>
      <w:hyperlink w:anchor="P878" w:history="1">
        <w:r>
          <w:rPr>
            <w:color w:val="0000FF"/>
          </w:rPr>
          <w:t>таблице N 3</w:t>
        </w:r>
      </w:hyperlink>
      <w:r>
        <w:t xml:space="preserve"> приложения к настоящей Методике.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2.12. Результаты ранжирования муниципальных образований и субъектов Российской Федерации рассматриваются на Экспертном совете Министерства строительства и жилищно-коммунального хозяйства Российской Федерации по вопросам городской среды, и после этого публикуются на сайте Минстроя России. Подготовка материалов для рассмотрения на указанном совете осуществляется Департаментом городской среды Министерства строительства и жилищно-коммунального хозяйства Российской Федерации.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right"/>
        <w:outlineLvl w:val="1"/>
      </w:pPr>
      <w:r>
        <w:t>Приложение</w:t>
      </w:r>
    </w:p>
    <w:p w:rsidR="004B335F" w:rsidRDefault="004B335F">
      <w:pPr>
        <w:pStyle w:val="ConsPlusNormal"/>
        <w:jc w:val="right"/>
      </w:pPr>
      <w:r>
        <w:t>к Методике определения индекса</w:t>
      </w:r>
    </w:p>
    <w:p w:rsidR="004B335F" w:rsidRDefault="004B335F">
      <w:pPr>
        <w:pStyle w:val="ConsPlusNormal"/>
        <w:jc w:val="right"/>
      </w:pPr>
      <w:r>
        <w:lastRenderedPageBreak/>
        <w:t>качества городской среды</w:t>
      </w:r>
    </w:p>
    <w:p w:rsidR="004B335F" w:rsidRDefault="004B335F">
      <w:pPr>
        <w:pStyle w:val="ConsPlusNormal"/>
        <w:jc w:val="right"/>
      </w:pPr>
      <w:r>
        <w:t>муниципальных образований</w:t>
      </w:r>
    </w:p>
    <w:p w:rsidR="004B335F" w:rsidRDefault="004B335F">
      <w:pPr>
        <w:pStyle w:val="ConsPlusNormal"/>
        <w:jc w:val="right"/>
      </w:pPr>
      <w:r>
        <w:t>Российской Федерации,</w:t>
      </w:r>
    </w:p>
    <w:p w:rsidR="004B335F" w:rsidRDefault="004B335F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4B335F" w:rsidRDefault="004B335F">
      <w:pPr>
        <w:pStyle w:val="ConsPlusNormal"/>
        <w:jc w:val="right"/>
      </w:pPr>
      <w:r>
        <w:t>Министерства строительства</w:t>
      </w:r>
    </w:p>
    <w:p w:rsidR="004B335F" w:rsidRDefault="004B335F">
      <w:pPr>
        <w:pStyle w:val="ConsPlusNormal"/>
        <w:jc w:val="right"/>
      </w:pPr>
      <w:r>
        <w:t>и жилищно-коммунального хозяйства</w:t>
      </w:r>
    </w:p>
    <w:p w:rsidR="004B335F" w:rsidRDefault="004B335F">
      <w:pPr>
        <w:pStyle w:val="ConsPlusNormal"/>
        <w:jc w:val="right"/>
      </w:pPr>
      <w:r>
        <w:t>Российской Федерации</w:t>
      </w:r>
    </w:p>
    <w:p w:rsidR="004B335F" w:rsidRDefault="004B335F">
      <w:pPr>
        <w:pStyle w:val="ConsPlusNormal"/>
        <w:jc w:val="right"/>
      </w:pPr>
      <w:r>
        <w:t>от 31 октября 2017 г. N 1494/</w:t>
      </w:r>
      <w:proofErr w:type="gramStart"/>
      <w:r>
        <w:t>пр</w:t>
      </w:r>
      <w:proofErr w:type="gramEnd"/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right"/>
        <w:outlineLvl w:val="2"/>
      </w:pPr>
      <w:r>
        <w:t>Таблица N 1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center"/>
      </w:pPr>
      <w:bookmarkStart w:id="2" w:name="P110"/>
      <w:bookmarkEnd w:id="2"/>
      <w:r>
        <w:t>Перечень индикаторов для расчета индекса качества городской</w:t>
      </w:r>
    </w:p>
    <w:p w:rsidR="004B335F" w:rsidRDefault="004B335F">
      <w:pPr>
        <w:pStyle w:val="ConsPlusNormal"/>
        <w:jc w:val="center"/>
      </w:pPr>
      <w:r>
        <w:t>среды и порядок их расчета на 2017 год</w:t>
      </w:r>
    </w:p>
    <w:p w:rsidR="004B335F" w:rsidRDefault="004B335F">
      <w:pPr>
        <w:pStyle w:val="ConsPlusNormal"/>
        <w:jc w:val="both"/>
      </w:pPr>
    </w:p>
    <w:p w:rsidR="004B335F" w:rsidRDefault="004B335F">
      <w:pPr>
        <w:sectPr w:rsidR="004B335F" w:rsidSect="00951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381"/>
        <w:gridCol w:w="2211"/>
        <w:gridCol w:w="2891"/>
        <w:gridCol w:w="850"/>
        <w:gridCol w:w="794"/>
        <w:gridCol w:w="1191"/>
        <w:gridCol w:w="1191"/>
        <w:gridCol w:w="3628"/>
      </w:tblGrid>
      <w:tr w:rsidR="004B335F">
        <w:tc>
          <w:tcPr>
            <w:tcW w:w="567" w:type="dxa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N индикатора</w:t>
            </w:r>
          </w:p>
        </w:tc>
        <w:tc>
          <w:tcPr>
            <w:tcW w:w="1304" w:type="dxa"/>
          </w:tcPr>
          <w:p w:rsidR="004B335F" w:rsidRDefault="004B335F">
            <w:pPr>
              <w:pStyle w:val="ConsPlusNormal"/>
              <w:jc w:val="center"/>
            </w:pPr>
            <w:r>
              <w:t>Категория (город, городские поселения, сельские поселения)</w:t>
            </w:r>
          </w:p>
        </w:tc>
        <w:tc>
          <w:tcPr>
            <w:tcW w:w="2381" w:type="dxa"/>
          </w:tcPr>
          <w:p w:rsidR="004B335F" w:rsidRDefault="004B335F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2211" w:type="dxa"/>
          </w:tcPr>
          <w:p w:rsidR="004B335F" w:rsidRDefault="004B335F">
            <w:pPr>
              <w:pStyle w:val="ConsPlusNormal"/>
              <w:jc w:val="center"/>
            </w:pPr>
            <w:r>
              <w:t>Алгоритм формирования (формула расчета)</w: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  <w:jc w:val="center"/>
            </w:pPr>
            <w:r>
              <w:t>Временные характеристики</w:t>
            </w:r>
          </w:p>
        </w:tc>
        <w:tc>
          <w:tcPr>
            <w:tcW w:w="794" w:type="dxa"/>
          </w:tcPr>
          <w:p w:rsidR="004B335F" w:rsidRDefault="004B335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  <w:jc w:val="center"/>
            </w:pPr>
            <w:r>
              <w:t>Метод сбора информации (источник данных)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  <w:jc w:val="center"/>
            </w:pPr>
            <w:r>
              <w:t>Дополнительные источники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  <w:jc w:val="center"/>
            </w:pPr>
            <w:r>
              <w:t>Как оценивается значение индикатора</w:t>
            </w:r>
          </w:p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bookmarkStart w:id="3" w:name="P123"/>
            <w:bookmarkEnd w:id="3"/>
            <w:r>
              <w:t>1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Процент населения, живущего в аварийном жилье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48"/>
              </w:rPr>
              <w:pict>
                <v:shape id="_x0000_i1027" style="width:45.75pt;height:62.25pt" coordsize="" o:spt="100" adj="0,,0" path="" filled="f" stroked="f">
                  <v:stroke joinstyle="miter"/>
                  <v:imagedata r:id="rId9" o:title="base_1_282529_32770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Ч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 xml:space="preserve"> - численность населения в муниципальном образовании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чел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Индикатор характеризует качество жилья, которое является одним из главных показателей комфортности проживания в населенном пункте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мо</w:t>
            </w:r>
            <w:r>
              <w:t xml:space="preserve"> - численность населения, живущего в аварийном фонде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чел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Минстрой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4" w:name="P138"/>
            <w:bookmarkEnd w:id="4"/>
            <w:r>
              <w:t>2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</w:tcPr>
          <w:p w:rsidR="004B335F" w:rsidRDefault="004B335F">
            <w:pPr>
              <w:pStyle w:val="ConsPlusNormal"/>
            </w:pPr>
            <w:r>
              <w:t>Процент жилого фонда, обеспеченного централизованными услугами тепл</w:t>
            </w:r>
            <w:proofErr w:type="gramStart"/>
            <w:r>
              <w:t>о-</w:t>
            </w:r>
            <w:proofErr w:type="gramEnd"/>
            <w:r>
              <w:t>, водо-, электроснабжения, водоотведения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Удельный вес общей площади жилых помещений, оборудованных отоплением, канализацией и отоплением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Индикатор характеризует качество обеспечения гражданина услугами жизнеобеспечения, что является одним из главных показателей комфортности проживания в населенном пункте</w:t>
            </w:r>
          </w:p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 xml:space="preserve">Количество </w:t>
            </w:r>
            <w:r>
              <w:lastRenderedPageBreak/>
              <w:t>вывезенных твердых коммунальных отходов (далее - ТКО) на душу населения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29"/>
              </w:rPr>
              <w:lastRenderedPageBreak/>
              <w:pict>
                <v:shape id="_x0000_i1028" style="width:22.5pt;height:43.5pt" coordsize="" o:spt="100" adj="0,,0" path="" filled="f" stroked="f">
                  <v:stroke joinstyle="miter"/>
                  <v:imagedata r:id="rId10" o:title="base_1_282529_32771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T</w:t>
            </w:r>
            <w:r>
              <w:rPr>
                <w:vertAlign w:val="subscript"/>
              </w:rPr>
              <w:t>i</w:t>
            </w:r>
            <w:r>
              <w:t xml:space="preserve"> - количество </w:t>
            </w:r>
            <w:proofErr w:type="gramStart"/>
            <w:r>
              <w:lastRenderedPageBreak/>
              <w:t>вывезенных</w:t>
            </w:r>
            <w:proofErr w:type="gramEnd"/>
            <w:r>
              <w:t xml:space="preserve"> ТКО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 xml:space="preserve">Индикатор используется для </w:t>
            </w:r>
            <w:r>
              <w:lastRenderedPageBreak/>
              <w:t xml:space="preserve">оценки экологической ситуации в жилых районах города, генерирующих основной массив твердых коммунальных отходов. Оценивает, как эффективность работы коммунальных служб, так и наличие скоплений мусора в жилых районах. Увеличение объема вывоза мусора на душу населения </w:t>
            </w:r>
            <w:proofErr w:type="gramStart"/>
            <w:r>
              <w:t>ведет к повышению качества среды в жилых районах и стимулирует</w:t>
            </w:r>
            <w:proofErr w:type="gramEnd"/>
            <w:r>
              <w:t xml:space="preserve"> улучшение экологической обстановки.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Ч - численность населения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чел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Разнообразие жилой застройки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r w:rsidRPr="00DF70DA">
              <w:rPr>
                <w:position w:val="-25"/>
              </w:rPr>
              <w:pict>
                <v:shape id="_x0000_i1029" style="width:104.25pt;height:39.75pt" coordsize="" o:spt="100" adj="0,,0" path="" filled="f" stroked="f">
                  <v:stroke joinstyle="miter"/>
                  <v:imagedata r:id="rId11" o:title="base_1_282529_32772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r>
              <w:t>h - количество жилых домов всех типов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Реформа 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 xml:space="preserve">Индикатор характеризует степень монотонности городской застройки. Увеличение показателей этого индикатора стимулирует городские власти к соблюдению градостроительных регламентов в городе и повышению общего качества проектов жилой </w:t>
            </w:r>
            <w:r>
              <w:lastRenderedPageBreak/>
              <w:t>застройки.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r>
              <w:t xml:space="preserve">h (1) и h (2) - количество жилых домов самого распространенного и второго самого распространенного типа за период 1959 - 1991 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Реформа 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5" w:name="P178"/>
            <w:bookmarkEnd w:id="5"/>
            <w:r>
              <w:lastRenderedPageBreak/>
              <w:t>5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Разнообразие функций в жилой зоне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7"/>
              </w:rPr>
              <w:pict>
                <v:shape id="_x0000_i1030" style="width:29.25pt;height:51.75pt" coordsize="" o:spt="100" adj="0,,0" path="" filled="f" stroked="f">
                  <v:stroke joinstyle="miter"/>
                  <v:imagedata r:id="rId12" o:title="base_1_282529_32773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f</w:t>
            </w:r>
            <w:r>
              <w:rPr>
                <w:vertAlign w:val="superscript"/>
              </w:rPr>
              <w:t>l</w:t>
            </w:r>
            <w:r>
              <w:t xml:space="preserve"> - площадь функционально-разнообразных участков жилой зоны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>Свидетельствует о наличии разнообразных сервисов в преимущественно жилых зонах. Чем большая площадь жилой зоны признается разнообразной, тем меньше в ней исключительно спальных монотонных районов.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Stot - площадь жилой зоны, общая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6" w:name="P193"/>
            <w:bookmarkEnd w:id="6"/>
            <w:r>
              <w:t>6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Количество ДТП с участием пешеходов со смертельным исходом на душу населения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29"/>
              </w:rPr>
              <w:pict>
                <v:shape id="_x0000_i1031" style="width:25.5pt;height:43.5pt" coordsize="" o:spt="100" adj="0,,0" path="" filled="f" stroked="f">
                  <v:stroke joinstyle="miter"/>
                  <v:imagedata r:id="rId13" o:title="base_1_282529_32774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Д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 xml:space="preserve"> - количество ДТП с участием пешеходов со смертельным исходом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МВД России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>Показатель характеризует безопасность улично-дорожной сети города. Чем больше количество таких ДТП, тем более опасными являются дорожная ситуация и устройство улично-дорожной сети для пешеходов.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Ч - численность населения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чел.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7" w:name="P208"/>
            <w:bookmarkEnd w:id="7"/>
            <w:r>
              <w:lastRenderedPageBreak/>
              <w:t>7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Доля улично-дорожной сети, обеспеченной ливневой канализацией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r w:rsidRPr="00DF70DA">
              <w:rPr>
                <w:position w:val="-36"/>
              </w:rPr>
              <w:pict>
                <v:shape id="_x0000_i1032" style="width:88.5pt;height:50.25pt" coordsize="" o:spt="100" adj="0,,0" path="" filled="f" stroked="f">
                  <v:stroke joinstyle="miter"/>
                  <v:imagedata r:id="rId14" o:title="base_1_282529_32775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удс</w:t>
            </w:r>
            <w:r>
              <w:t xml:space="preserve"> - общая протяженность улиц, проездов, набережных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Merge w:val="restart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>Наличие ливневой канализации является подтверждением качества улично-дорожной сети, ее удобства, в том числе для пешеходов. Высокий уровень обеспеченности улично-дорожной сети ливневой канализации свидетельствует о комфорте передвижения в общественных пространствах, снижает риск затопления улиц, проездов, набережных в условиях интенсивного выпадения осадков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Пк - общая протяженность ливневой канализации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Merge/>
          </w:tcPr>
          <w:p w:rsidR="004B335F" w:rsidRDefault="004B335F"/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Загруженность дорог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 w:rsidRPr="00DF70DA">
              <w:rPr>
                <w:position w:val="-33"/>
              </w:rPr>
              <w:pict>
                <v:shape id="_x0000_i1033" style="width:102pt;height:48pt" coordsize="" o:spt="100" adj="0,,0" path="" filled="f" stroked="f">
                  <v:stroke joinstyle="miter"/>
                  <v:imagedata r:id="rId15" o:title="base_1_282529_32776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Медианное значение загрузки дорог в течение четырех месяцев года (февраль, апрель, июль, ноябрь)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Балл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ГЛОНАСС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GPS</w:t>
            </w:r>
          </w:p>
        </w:tc>
        <w:tc>
          <w:tcPr>
            <w:tcW w:w="3628" w:type="dxa"/>
            <w:vAlign w:val="center"/>
          </w:tcPr>
          <w:p w:rsidR="004B335F" w:rsidRDefault="004B335F">
            <w:pPr>
              <w:pStyle w:val="ConsPlusNormal"/>
            </w:pPr>
            <w:proofErr w:type="gramStart"/>
            <w:r>
              <w:t>Характеризует наличие транспортных проблем при передвижении в городе и свидетельствует</w:t>
            </w:r>
            <w:proofErr w:type="gramEnd"/>
            <w:r>
              <w:t xml:space="preserve"> о наличии постоянных источников выбросов вредных веществ в атмосферу и общего загрязнения города. Уменьшение числа дорожных заторов </w:t>
            </w:r>
            <w:r>
              <w:lastRenderedPageBreak/>
              <w:t>значительно улучшает экологию города, в частности состояние атмосферы вдоль дорог.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  <w:jc w:val="both"/>
            </w:pPr>
            <w:r>
              <w:t>Количество улиц с развитой сферой услуг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 w:rsidRPr="00DF70DA">
              <w:rPr>
                <w:position w:val="-14"/>
              </w:rPr>
              <w:pict>
                <v:shape id="_x0000_i1034" style="width:39pt;height:28.5pt" coordsize="" o:spt="100" adj="0,,0" path="" filled="f" stroked="f">
                  <v:stroke joinstyle="miter"/>
                  <v:imagedata r:id="rId16" o:title="base_1_282529_32777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  <w:jc w:val="both"/>
            </w:pPr>
            <w:r>
              <w:t>Сумма улиц с развитой сферой услуг в городе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Отражает наличие интересных для пешеходов пространств, разнообразие и идентичность городских улиц, повышая пешеходный поток, развитие городской экономики и общую безопасность городских улиц.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8" w:name="P242"/>
            <w:bookmarkEnd w:id="8"/>
            <w:r>
              <w:t>10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Индекс пешеходной доступности</w:t>
            </w:r>
          </w:p>
        </w:tc>
        <w:tc>
          <w:tcPr>
            <w:tcW w:w="5102" w:type="dxa"/>
            <w:gridSpan w:val="2"/>
          </w:tcPr>
          <w:p w:rsidR="004B335F" w:rsidRDefault="004B335F">
            <w:pPr>
              <w:pStyle w:val="ConsPlusNormal"/>
              <w:jc w:val="both"/>
            </w:pPr>
            <w:r>
              <w:t xml:space="preserve">Рассчитывается как отношение совокупной длины кратчайших пешеходных маршрутов от жилых домов с учетом топологии улично-дорожной сети к точкам притяжения (все объекты социальной и коммерческой инфраструктуры) в пределах 800-метровой зоны, к общей протяженности улично-дорожной сети города. Полученные в результате </w:t>
            </w:r>
            <w:proofErr w:type="gramStart"/>
            <w:r>
              <w:t>длинны маршрутов суммируются</w:t>
            </w:r>
            <w:proofErr w:type="gramEnd"/>
            <w:r>
              <w:t>, и соотносятся с общей протяженностью улично-дорожной сети города.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Оценивает степень пешеходной доступности от жилых домов до объектов инфраструктуры, учитывая сложность геометрии УДС, наличие пешеходных переходов, тротуаров за 10 минут от каждого здания кратчайшим путем по улично-дорожной сети (800 м).</w:t>
            </w:r>
          </w:p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9" w:name="P251"/>
            <w:bookmarkEnd w:id="9"/>
            <w:r>
              <w:lastRenderedPageBreak/>
              <w:t>11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Доля озелененных территорий общего пользования (парки, сады и др.) в площади всех зеленых насаждений в целом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29"/>
              </w:rPr>
              <w:pict>
                <v:shape id="_x0000_i1035" style="width:81pt;height:43.5pt" coordsize="" o:spt="100" adj="0,,0" path="" filled="f" stroked="f">
                  <v:stroke joinstyle="miter"/>
                  <v:imagedata r:id="rId17" o:title="base_1_282529_32778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общ</w:t>
            </w:r>
            <w:r>
              <w:t xml:space="preserve"> - общая площадь зеленых насаждений общего пользования (парки, сады и др.), </w:t>
            </w:r>
            <w:proofErr w:type="gramStart"/>
            <w:r>
              <w:t>га</w:t>
            </w:r>
            <w:proofErr w:type="gramEnd"/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га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  <w:jc w:val="both"/>
            </w:pPr>
            <w:r>
              <w:t xml:space="preserve">Оценивает потенциальную безопасность </w:t>
            </w:r>
            <w:proofErr w:type="gramStart"/>
            <w:r>
              <w:t>озелененных</w:t>
            </w:r>
            <w:proofErr w:type="gramEnd"/>
            <w:r>
              <w:t xml:space="preserve"> территорий города, выявляя долю территорий, к которым не применяются такие требования качества, как освещение, охрана, комфорт передвижения и др., и остаются территориями потенциальной опасности (лесные массивы, лесополосы).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вс</w:t>
            </w:r>
            <w:r>
              <w:t xml:space="preserve"> - площадь всех зеленых насаждений, </w:t>
            </w:r>
            <w:proofErr w:type="gramStart"/>
            <w:r>
              <w:t>га</w:t>
            </w:r>
            <w:proofErr w:type="gramEnd"/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га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0" w:name="P266"/>
            <w:bookmarkEnd w:id="10"/>
            <w:r>
              <w:t>12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Доступность парков или обустроенного природного ландшафта</w:t>
            </w:r>
          </w:p>
        </w:tc>
        <w:tc>
          <w:tcPr>
            <w:tcW w:w="2211" w:type="dxa"/>
          </w:tcPr>
          <w:p w:rsidR="004B335F" w:rsidRDefault="004B335F">
            <w:pPr>
              <w:pStyle w:val="ConsPlusNormal"/>
            </w:pPr>
            <w:r>
              <w:t>Вычисляется как доля населения, проживающего в радиусе 800 метров от границ парков, от общего количества населения.</w: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Расстояние от центра масс населения до входа в парк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Возможность часто и без затрат времени на транспорт посещать парки или естественный природный ландшафт для прогулок, занятий спортом, тихого отдыха, или работы вне офиса, делает жизнь удобнее.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Состояние зеленых насаждений</w:t>
            </w:r>
          </w:p>
        </w:tc>
        <w:tc>
          <w:tcPr>
            <w:tcW w:w="5102" w:type="dxa"/>
            <w:gridSpan w:val="2"/>
            <w:vAlign w:val="center"/>
          </w:tcPr>
          <w:p w:rsidR="004B335F" w:rsidRDefault="004B335F">
            <w:pPr>
              <w:pStyle w:val="ConsPlusNormal"/>
              <w:jc w:val="both"/>
            </w:pPr>
            <w:r>
              <w:t xml:space="preserve">Рассчитывается на основе дешифрирования космических снимков и вычисления вегетационного индекса, как доля территории с озелененными насаждениями повышенной плотности биомассы от общей площади озеленения </w:t>
            </w:r>
            <w:r>
              <w:lastRenderedPageBreak/>
              <w:t>города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Данные </w:t>
            </w:r>
            <w:proofErr w:type="gramStart"/>
            <w:r>
              <w:t>дистанционного</w:t>
            </w:r>
            <w:proofErr w:type="gramEnd"/>
            <w:r>
              <w:t xml:space="preserve"> зондирование земли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  <w:jc w:val="both"/>
            </w:pPr>
            <w:r>
              <w:t xml:space="preserve">Оценивает биопродуктивность зеленых насаждений как прямое следствие всего состояния природной риродно непосредственно связанной </w:t>
            </w:r>
            <w:r>
              <w:lastRenderedPageBreak/>
              <w:t>с состоянием атмосферы, уровнем загрязнения почв и поверхностных вод в городе.</w:t>
            </w:r>
          </w:p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Количество фотографий из социальных сетей, сделанных горожанами на озелененных территориях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5"/>
              </w:rPr>
              <w:pict>
                <v:shape id="_x0000_i1036" style="width:54.75pt;height:49.5pt" coordsize="" o:spt="100" adj="0,,0" path="" filled="f" stroked="f">
                  <v:stroke joinstyle="miter"/>
                  <v:imagedata r:id="rId18" o:title="base_1_282529_32779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Ф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 xml:space="preserve"> - все фотографии за год в границах озелененных территорий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Социальные сети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  <w:jc w:val="both"/>
            </w:pPr>
            <w:r>
              <w:t>Используется для оценки разнообразия и идентичности озелененных пространств. Чем больше создано условий и предпосылок для привлечения горожан в парки, тем больше фотографий приходится на этот тип пространств.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Овс - площадь </w:t>
            </w:r>
            <w:proofErr w:type="gramStart"/>
            <w:r>
              <w:t>озелененных</w:t>
            </w:r>
            <w:proofErr w:type="gramEnd"/>
            <w:r>
              <w:t xml:space="preserve"> территорий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1" w:name="P300"/>
            <w:bookmarkEnd w:id="11"/>
            <w:r>
              <w:t>15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Количество разнообразных услуг для горожан на озелененных территориях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5"/>
              </w:rPr>
              <w:pict>
                <v:shape id="_x0000_i1037" style="width:54pt;height:49.5pt" coordsize="" o:spt="100" adj="0,,0" path="" filled="f" stroked="f">
                  <v:stroke joinstyle="miter"/>
                  <v:imagedata r:id="rId19" o:title="base_1_282529_32780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С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 xml:space="preserve"> - все сервисы, расположенные в границах озелененных территорий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 xml:space="preserve">Используется для оценки современности среды </w:t>
            </w:r>
            <w:proofErr w:type="gramStart"/>
            <w:r>
              <w:t>городских</w:t>
            </w:r>
            <w:proofErr w:type="gramEnd"/>
            <w:r>
              <w:t xml:space="preserve"> озелененных территорий. Парки и скверы - это полноценные общественные пространства для удовлетворения различных потребностей разных социокультурных групп горожан.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Овс - площадь </w:t>
            </w:r>
            <w:proofErr w:type="gramStart"/>
            <w:r>
              <w:t>озелененных</w:t>
            </w:r>
            <w:proofErr w:type="gramEnd"/>
            <w:r>
              <w:t xml:space="preserve"> территорий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t xml:space="preserve">Географическая информационная </w:t>
            </w:r>
            <w:r>
              <w:lastRenderedPageBreak/>
              <w:t>системы (ГИС)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2" w:name="P315"/>
            <w:bookmarkEnd w:id="12"/>
            <w:r>
              <w:lastRenderedPageBreak/>
              <w:t>16</w:t>
            </w:r>
          </w:p>
        </w:tc>
        <w:tc>
          <w:tcPr>
            <w:tcW w:w="1304" w:type="dxa"/>
            <w:vMerge w:val="restart"/>
            <w:vAlign w:val="bottom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Доля освещенных частей улиц, проездов, набережных на конец года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3"/>
              </w:rPr>
              <w:pict>
                <v:shape id="_x0000_i1038" style="width:89.25pt;height:48pt" coordsize="" o:spt="100" adj="0,,0" path="" filled="f" stroked="f">
                  <v:stroke joinstyle="miter"/>
                  <v:imagedata r:id="rId20" o:title="base_1_282529_32781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осв</w:t>
            </w:r>
            <w:r>
              <w:t xml:space="preserve"> - общая протяженность освещенных частей улиц, проездов, набережных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  <w:jc w:val="both"/>
            </w:pPr>
            <w:r>
              <w:t>Хорошо организованное освещение снижает угрозы, связанные с криминалом, способствует продлению времени социальной и коммерческой активности в городе.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МО</w:t>
            </w:r>
            <w:r>
              <w:t xml:space="preserve"> - общая протяженность улиц, проездов, набережных в муниципальном образовании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3" w:name="P330"/>
            <w:bookmarkEnd w:id="13"/>
            <w:r>
              <w:t>17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Доля общественно-деловых районов с многофункциональной средой</w:t>
            </w:r>
          </w:p>
        </w:tc>
        <w:tc>
          <w:tcPr>
            <w:tcW w:w="5102" w:type="dxa"/>
            <w:gridSpan w:val="2"/>
            <w:vAlign w:val="center"/>
          </w:tcPr>
          <w:p w:rsidR="004B335F" w:rsidRDefault="004B335F">
            <w:pPr>
              <w:pStyle w:val="ConsPlusNormal"/>
              <w:jc w:val="both"/>
            </w:pPr>
            <w:r>
              <w:t>Рассчитывается как доля площади города, где общественно-деловые функции составляют более 20% (при этом жилых функций не менее 20%), от общей площади города.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  <w:jc w:val="both"/>
            </w:pPr>
            <w:r>
              <w:t xml:space="preserve">Оценивается доля пространств, которые развиваются согласно принципам многофункциональной городской среды. Смешанное использование городских площадей - необходимое и жизненное условие оздоровления городского пространства. Это в равной мере важно, как для преимущественно жилых районов, которые не </w:t>
            </w:r>
            <w:r>
              <w:lastRenderedPageBreak/>
              <w:t>должны превращаться в исключительно спальные районы, так и для общественно-деловых районов, из которых зачастую уходит настоящая городская жизнь, вместе с жилыми пространствами</w:t>
            </w:r>
          </w:p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Доля площади города, убираемая механизированным способом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29"/>
              </w:rPr>
              <w:pict>
                <v:shape id="_x0000_i1039" style="width:51.75pt;height:43.5pt" coordsize="" o:spt="100" adj="0,,0" path="" filled="f" stroked="f">
                  <v:stroke joinstyle="miter"/>
                  <v:imagedata r:id="rId21" o:title="base_1_282529_32782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мех</w:t>
            </w:r>
            <w:r>
              <w:t xml:space="preserve"> - площадь города, убираемая механизированным способом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  <w:jc w:val="both"/>
            </w:pPr>
            <w:r>
              <w:t>Оценивает чистоту городского пространства, принимая, что более высокая производительность работ в более короткие сроки сокращает количество пыли, снега (как чистого, так и загрязненного продуктами переработки топлива автомашин) и мусора на территориях.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вс</w:t>
            </w:r>
            <w:r>
              <w:t xml:space="preserve"> - площадь города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Концентрация объектов культурного наследия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5"/>
              </w:rPr>
              <w:pict>
                <v:shape id="_x0000_i1040" style="width:54pt;height:49.5pt" coordsize="" o:spt="100" adj="0,,0" path="" filled="f" stroked="f">
                  <v:stroke joinstyle="miter"/>
                  <v:imagedata r:id="rId22" o:title="base_1_282529_32783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К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 xml:space="preserve"> - количество объектов культурного наследия федерального, регионального и местного значения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191" w:type="dxa"/>
            <w:vMerge w:val="restart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 xml:space="preserve">Наделение здания подобным статусом влечет за собой наложение на него особых условий использования, препятствующих его реконструкции и разрушению, связанных с охранным </w:t>
            </w:r>
            <w:r>
              <w:lastRenderedPageBreak/>
              <w:t>законодательством памятников истории и культуры. Такие объекты поддерживают уникальность облика города, рассказывают его историю, наполняют городскую ткань смыслами.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вс</w:t>
            </w:r>
            <w:r>
              <w:t xml:space="preserve"> - площадь города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Merge/>
          </w:tcPr>
          <w:p w:rsidR="004B335F" w:rsidRDefault="004B335F"/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4" w:name="P368"/>
            <w:bookmarkEnd w:id="14"/>
            <w:r>
              <w:lastRenderedPageBreak/>
              <w:t>20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Уровень развития общественно-деловых районов города</w:t>
            </w:r>
          </w:p>
        </w:tc>
        <w:tc>
          <w:tcPr>
            <w:tcW w:w="5102" w:type="dxa"/>
            <w:gridSpan w:val="2"/>
            <w:vAlign w:val="center"/>
          </w:tcPr>
          <w:p w:rsidR="004B335F" w:rsidRDefault="004B335F">
            <w:pPr>
              <w:pStyle w:val="ConsPlusNormal"/>
              <w:jc w:val="both"/>
            </w:pPr>
            <w:r>
              <w:t xml:space="preserve">Рассчитывается как среднее значение количество функций в общественно-деловых районах с многофункциональной средой из индикатора </w:t>
            </w:r>
            <w:hyperlink w:anchor="P330" w:history="1">
              <w:r>
                <w:rPr>
                  <w:color w:val="0000FF"/>
                </w:rPr>
                <w:t>N 17</w:t>
              </w:r>
            </w:hyperlink>
            <w:r>
              <w:t>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Используется как комплексный показатель качества общественно-деловой инфраструктуры и прилегающих пространств, оценивающий одновременно множество факторов: привлекательность для горожан, доступность арендной платы, конъюнктурное окружение. Оценивается концентрация функций, приходящихся на периметры общественно-делового пространства, учитывая также наличие жилых функций на этих территориях.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5" w:name="P377"/>
            <w:bookmarkEnd w:id="15"/>
            <w:r>
              <w:t>21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Безопасность передвижения </w:t>
            </w:r>
            <w:r>
              <w:lastRenderedPageBreak/>
              <w:t>вблизи учреждений социального обслуживания населения</w:t>
            </w:r>
          </w:p>
        </w:tc>
        <w:tc>
          <w:tcPr>
            <w:tcW w:w="5102" w:type="dxa"/>
            <w:gridSpan w:val="2"/>
          </w:tcPr>
          <w:p w:rsidR="004B335F" w:rsidRDefault="004B335F">
            <w:pPr>
              <w:pStyle w:val="ConsPlusNormal"/>
              <w:jc w:val="both"/>
            </w:pPr>
            <w:r>
              <w:lastRenderedPageBreak/>
              <w:t xml:space="preserve">Рассчитывается как сумма баллов, набранных за концентрацию </w:t>
            </w:r>
            <w:r>
              <w:lastRenderedPageBreak/>
              <w:t>пешеходных переходов в радиусе 200 метров и протяженности дорог 1-й категории в радиусе 300 метров (баллы даются в отрицательном значении) от объектов социальной инфраструктуры.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</w:t>
            </w:r>
            <w:r>
              <w:lastRenderedPageBreak/>
              <w:t>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 xml:space="preserve">Географическая </w:t>
            </w:r>
            <w:r>
              <w:lastRenderedPageBreak/>
              <w:t>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lastRenderedPageBreak/>
              <w:t xml:space="preserve">Оценивает качество городской инфраструктуры </w:t>
            </w:r>
            <w:r>
              <w:lastRenderedPageBreak/>
              <w:t>для посещения образовательных и медицинских учреждений.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Разнообразие предоставляемых сервисов</w:t>
            </w:r>
          </w:p>
        </w:tc>
        <w:tc>
          <w:tcPr>
            <w:tcW w:w="5102" w:type="dxa"/>
            <w:gridSpan w:val="2"/>
            <w:vAlign w:val="center"/>
          </w:tcPr>
          <w:p w:rsidR="004B335F" w:rsidRDefault="004B335F">
            <w:pPr>
              <w:pStyle w:val="ConsPlusNormal"/>
              <w:jc w:val="both"/>
            </w:pPr>
            <w:r>
              <w:t xml:space="preserve">Рассчитывается при помощи коэффициента вариации (разнообразия) по количеству культурных и спортивных учреждений в городе. Чем больше в городе разных видов культурно-спортивных учреждений, тем больше коэффициент и, соответственно, выше показатель. Рассчитывается количество организаций каждого типа, и </w:t>
            </w:r>
            <w:proofErr w:type="gramStart"/>
            <w:r>
              <w:t>вычисляется отношение стандартного отклонения к среднему арифметическому значению и нормируется</w:t>
            </w:r>
            <w:proofErr w:type="gramEnd"/>
            <w:r>
              <w:t xml:space="preserve"> на численность населения.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Оценивает доступность разнообразных культурно-спортивных функций для горожан. Оценивается как количество учреждений, так и разнообразие их видов.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Доступность спортивных площадок для населения</w:t>
            </w:r>
          </w:p>
        </w:tc>
        <w:tc>
          <w:tcPr>
            <w:tcW w:w="5102" w:type="dxa"/>
            <w:gridSpan w:val="2"/>
            <w:vAlign w:val="center"/>
          </w:tcPr>
          <w:p w:rsidR="004B335F" w:rsidRDefault="004B335F">
            <w:pPr>
              <w:pStyle w:val="ConsPlusNormal"/>
            </w:pPr>
            <w:r>
              <w:t>Вычисляется как доля населения, проживающего в радиусе 800 метров от спортивных площадок, от общего количества населения.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 xml:space="preserve">Оценивает наличие в городской инфраструктуре множества специально оборудованных мест, приспособленных для физической активности на открытом воздухе. В странах с высоким уровнем </w:t>
            </w:r>
            <w:r>
              <w:lastRenderedPageBreak/>
              <w:t xml:space="preserve">урбанизации 75% случаев смертей обусловлены "болезнями цивилизации", одним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фактором</w:t>
            </w:r>
            <w:proofErr w:type="gramEnd"/>
            <w:r>
              <w:t xml:space="preserve"> риска которых служит малоподвижный образ жизни.</w:t>
            </w:r>
          </w:p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Доля объектов культурного наследия, в которых размещаются театр, музеи, библиотеки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5"/>
              </w:rPr>
              <w:pict>
                <v:shape id="_x0000_i1041" style="width:72.75pt;height:49.5pt" coordsize="" o:spt="100" adj="0,,0" path="" filled="f" stroked="f">
                  <v:stroke joinstyle="miter"/>
                  <v:imagedata r:id="rId23" o:title="base_1_282529_32784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соц</w:t>
            </w:r>
            <w:r>
              <w:t xml:space="preserve"> - количество объектов культурного наследия федерального, регионального и местного значения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 xml:space="preserve">Индикатор показывает как использование, так и отношение города к историческому наследию. Объекты культурного наследия, в которых расположены театры, музеи и библиотеки, </w:t>
            </w:r>
            <w:proofErr w:type="gramStart"/>
            <w:r>
              <w:t>доступны большему количеством людей и требуют</w:t>
            </w:r>
            <w:proofErr w:type="gramEnd"/>
            <w:r>
              <w:t xml:space="preserve"> высоких стандартов качества и сохранности, и, как правило, находятся в лучшем состоянии. Повышение значения показателя стимулирует повышение качества сохранности особо ценных объектов городской среды.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количество</w:t>
            </w:r>
            <w:proofErr w:type="gramEnd"/>
            <w:r>
              <w:t xml:space="preserve"> объектов культурного наследия федерального, регионального и местного значения, в которых располагаются функции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6" w:name="P419"/>
            <w:bookmarkEnd w:id="16"/>
            <w:r>
              <w:t>25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 xml:space="preserve">Посещаемость </w:t>
            </w:r>
            <w:r>
              <w:lastRenderedPageBreak/>
              <w:t>музеев и театров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29"/>
              </w:rPr>
              <w:lastRenderedPageBreak/>
              <w:pict>
                <v:shape id="_x0000_i1042" style="width:66.75pt;height:43.5pt" coordsize="" o:spt="100" adj="0,,0" path="" filled="f" stroked="f">
                  <v:stroke joinstyle="miter"/>
                  <v:imagedata r:id="rId24" o:title="base_1_282529_32785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Пм - количество </w:t>
            </w:r>
            <w:r>
              <w:lastRenderedPageBreak/>
              <w:t>посещений театров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Минкул</w:t>
            </w:r>
            <w:r>
              <w:lastRenderedPageBreak/>
              <w:t>ьт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 xml:space="preserve">Индикатор говорит не </w:t>
            </w:r>
            <w:r>
              <w:lastRenderedPageBreak/>
              <w:t>только об объеме, качестве выставок и репертуара театров, но и о важности этих пространств в городской среде. Для достижения положительной динамики необходимы мероприятия по трансформации театров и музеев из монофункциональных объектов в городские центры с множеством функций.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Пт - количество посещений музеев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Минкульт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Ч - численность населения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Чел.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7" w:name="P439"/>
            <w:bookmarkEnd w:id="17"/>
            <w:r>
              <w:t>26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Общее количество ДТП в городе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5"/>
              </w:rPr>
              <w:pict>
                <v:shape id="_x0000_i1043" style="width:54pt;height:49.5pt" coordsize="" o:spt="100" adj="0,,0" path="" filled="f" stroked="f">
                  <v:stroke joinstyle="miter"/>
                  <v:imagedata r:id="rId25" o:title="base_1_282529_32786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Д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 xml:space="preserve"> - количество ДТП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МВД РФ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>Определяет общий уровень угрозы для жизни и здоровья людей в связи с разного рода рисками, вызванными несовершенством его инфраструктуры.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Ч - численность населения города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Чел.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</w:tcPr>
          <w:p w:rsidR="004B335F" w:rsidRDefault="004B335F">
            <w:pPr>
              <w:pStyle w:val="ConsPlusNormal"/>
            </w:pPr>
            <w:r>
              <w:t xml:space="preserve">Среднее расстояние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остановка</w:t>
            </w:r>
            <w:proofErr w:type="gramEnd"/>
            <w:r>
              <w:t xml:space="preserve"> общественного транспорта</w:t>
            </w:r>
          </w:p>
        </w:tc>
        <w:tc>
          <w:tcPr>
            <w:tcW w:w="2211" w:type="dxa"/>
          </w:tcPr>
          <w:p w:rsidR="004B335F" w:rsidRDefault="004B335F">
            <w:pPr>
              <w:pStyle w:val="ConsPlusNormal"/>
            </w:pPr>
            <w:r>
              <w:t xml:space="preserve">Для расчета индикатора вычисляется среднее расстояние между соседними </w:t>
            </w:r>
            <w:r>
              <w:lastRenderedPageBreak/>
              <w:t>остановками общественного транспорта в городе.</w: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r>
              <w:lastRenderedPageBreak/>
              <w:t>Среднее расстояние между всеми остановками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Метров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t xml:space="preserve">Поисково-информационные картографические </w:t>
            </w:r>
            <w:r>
              <w:lastRenderedPageBreak/>
              <w:t>службы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lastRenderedPageBreak/>
              <w:t>Географическая информационная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 xml:space="preserve">Отражает комфорт общегородского пространства. Развитый общественный транспорт - необходимый элемент современного города, он позволяет жителям </w:t>
            </w:r>
            <w:r>
              <w:lastRenderedPageBreak/>
              <w:t>отказаться от личных автомобилей и при этом комфортно и быстро перемещаться по городу.</w:t>
            </w:r>
          </w:p>
        </w:tc>
      </w:tr>
      <w:tr w:rsidR="004B335F">
        <w:tblPrEx>
          <w:tblBorders>
            <w:insideH w:val="nil"/>
          </w:tblBorders>
        </w:tblPrEx>
        <w:tc>
          <w:tcPr>
            <w:tcW w:w="17008" w:type="dxa"/>
            <w:gridSpan w:val="10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"/>
              <w:gridCol w:w="131"/>
              <w:gridCol w:w="16553"/>
              <w:gridCol w:w="131"/>
            </w:tblGrid>
            <w:tr w:rsidR="004B33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35F" w:rsidRDefault="004B335F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35F" w:rsidRDefault="004B335F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B335F" w:rsidRDefault="004B335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B335F" w:rsidRDefault="004B335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Форма 1-КХ, а не Форма 1-КФ.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335F" w:rsidRDefault="004B335F"/>
              </w:tc>
            </w:tr>
          </w:tbl>
          <w:p w:rsidR="004B335F" w:rsidRDefault="004B335F"/>
        </w:tc>
      </w:tr>
      <w:tr w:rsidR="004B335F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8" w:name="P466"/>
            <w:bookmarkEnd w:id="18"/>
            <w:r>
              <w:t>28</w:t>
            </w:r>
          </w:p>
        </w:tc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Merge w:val="restart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</w:pPr>
            <w:r>
              <w:t>Отношение площади зеленых насаждений в пределах городской черты к общей площади городских земель в пределах городской черты</w:t>
            </w:r>
          </w:p>
        </w:tc>
        <w:tc>
          <w:tcPr>
            <w:tcW w:w="2211" w:type="dxa"/>
            <w:vMerge w:val="restart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3"/>
              </w:rPr>
              <w:pict>
                <v:shape id="_x0000_i1044" style="width:84pt;height:48pt" coordsize="" o:spt="100" adj="0,,0" path="" filled="f" stroked="f">
                  <v:stroke joinstyle="miter"/>
                  <v:imagedata r:id="rId26" o:title="base_1_282529_32787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</w:pPr>
            <w:proofErr w:type="gramStart"/>
            <w:r>
              <w:t>S</w:t>
            </w:r>
            <w:proofErr w:type="gramEnd"/>
            <w:r>
              <w:t>зн - площадь зеленых насаждений в пределах городской черты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</w:pPr>
            <w:r>
              <w:t>Росстат (</w:t>
            </w:r>
            <w:hyperlink r:id="rId27" w:history="1">
              <w:r>
                <w:rPr>
                  <w:color w:val="0000FF"/>
                </w:rPr>
                <w:t>Форма 1-КХ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  <w:vMerge w:val="restart"/>
            <w:tcBorders>
              <w:top w:val="nil"/>
            </w:tcBorders>
            <w:vAlign w:val="center"/>
          </w:tcPr>
          <w:p w:rsidR="004B335F" w:rsidRDefault="004B335F">
            <w:pPr>
              <w:pStyle w:val="ConsPlusNormal"/>
              <w:jc w:val="both"/>
            </w:pPr>
            <w:r>
              <w:t>Помимо того, что зеленые насаждения выполняют санитарно-гигиенические функции, они активно участвуют в создании городских ландшафтов. Зеленые массивы, расположенные между отдельными районами застройки, объединяют их, придают городу целостность и законченность, оживляют городские ландшафты, являются средством индивидуализации районов и микрорайонов города.</w:t>
            </w:r>
          </w:p>
        </w:tc>
      </w:tr>
      <w:tr w:rsidR="004B335F">
        <w:tc>
          <w:tcPr>
            <w:tcW w:w="567" w:type="dxa"/>
            <w:vMerge/>
            <w:tcBorders>
              <w:top w:val="nil"/>
            </w:tcBorders>
          </w:tcPr>
          <w:p w:rsidR="004B335F" w:rsidRDefault="004B335F"/>
        </w:tc>
        <w:tc>
          <w:tcPr>
            <w:tcW w:w="1304" w:type="dxa"/>
            <w:vMerge/>
            <w:tcBorders>
              <w:top w:val="nil"/>
            </w:tcBorders>
          </w:tcPr>
          <w:p w:rsidR="004B335F" w:rsidRDefault="004B335F"/>
        </w:tc>
        <w:tc>
          <w:tcPr>
            <w:tcW w:w="2381" w:type="dxa"/>
            <w:vMerge/>
            <w:tcBorders>
              <w:top w:val="nil"/>
            </w:tcBorders>
          </w:tcPr>
          <w:p w:rsidR="004B335F" w:rsidRDefault="004B335F"/>
        </w:tc>
        <w:tc>
          <w:tcPr>
            <w:tcW w:w="2211" w:type="dxa"/>
            <w:vMerge/>
            <w:tcBorders>
              <w:top w:val="nil"/>
            </w:tcBorders>
          </w:tcPr>
          <w:p w:rsidR="004B335F" w:rsidRDefault="004B335F"/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proofErr w:type="gramStart"/>
            <w:r>
              <w:t>S</w:t>
            </w:r>
            <w:proofErr w:type="gramEnd"/>
            <w:r>
              <w:t>мо - общая площадь городских земель в пределах городской черты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Росстат (</w:t>
            </w:r>
            <w:hyperlink r:id="rId28" w:history="1">
              <w:r>
                <w:rPr>
                  <w:color w:val="0000FF"/>
                </w:rPr>
                <w:t>Форма 1-КФ</w:t>
              </w:r>
            </w:hyperlink>
            <w:r>
              <w:t>)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Географическая информационная системы (ГИС)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4B335F" w:rsidRDefault="004B335F"/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мест</w:t>
            </w:r>
            <w:proofErr w:type="gramEnd"/>
            <w:r>
              <w:t xml:space="preserve"> в которых сконцентрировано </w:t>
            </w:r>
            <w:r>
              <w:lastRenderedPageBreak/>
              <w:t>наибольшее количество фотографий</w:t>
            </w:r>
          </w:p>
        </w:tc>
        <w:tc>
          <w:tcPr>
            <w:tcW w:w="5102" w:type="dxa"/>
            <w:gridSpan w:val="2"/>
          </w:tcPr>
          <w:p w:rsidR="004B335F" w:rsidRDefault="004B335F">
            <w:pPr>
              <w:pStyle w:val="ConsPlusNormal"/>
              <w:jc w:val="both"/>
            </w:pPr>
            <w:r>
              <w:lastRenderedPageBreak/>
              <w:t xml:space="preserve">Рассчитывается как количество мест, в которых сконцентрировано наиболее количество фотографий, но в сумме не </w:t>
            </w:r>
            <w:r>
              <w:lastRenderedPageBreak/>
              <w:t>превышающих 75% всех фотографий на территории города. Полученное значение нормируется по суммарному количеству улиц в населенном пункте.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proofErr w:type="gramStart"/>
            <w:r>
              <w:lastRenderedPageBreak/>
              <w:t>г</w:t>
            </w:r>
            <w:proofErr w:type="gramEnd"/>
            <w:r>
              <w:t>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Ед.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Поисково-информа</w:t>
            </w:r>
            <w:r>
              <w:lastRenderedPageBreak/>
              <w:t>ционные картографические службы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Географическая информа</w:t>
            </w:r>
            <w:r>
              <w:lastRenderedPageBreak/>
              <w:t>ционная системы (ГИС)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  <w:jc w:val="both"/>
            </w:pPr>
            <w:proofErr w:type="gramStart"/>
            <w:r>
              <w:lastRenderedPageBreak/>
              <w:t xml:space="preserve">Показатель, прямо сообщающий информацию о количестве в городе </w:t>
            </w:r>
            <w:r>
              <w:lastRenderedPageBreak/>
              <w:t>территорий, на которых находятся максимально привлекательные для горожан и туристов объекты и сервисы.</w:t>
            </w:r>
            <w:proofErr w:type="gramEnd"/>
          </w:p>
        </w:tc>
      </w:tr>
      <w:tr w:rsidR="004B335F">
        <w:tc>
          <w:tcPr>
            <w:tcW w:w="567" w:type="dxa"/>
            <w:vMerge w:val="restart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19" w:name="P490"/>
            <w:bookmarkEnd w:id="19"/>
            <w:r>
              <w:lastRenderedPageBreak/>
              <w:t>30</w:t>
            </w:r>
          </w:p>
        </w:tc>
        <w:tc>
          <w:tcPr>
            <w:tcW w:w="130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38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Доля горожан, работающих в третичном секторе экономики</w:t>
            </w:r>
          </w:p>
        </w:tc>
        <w:tc>
          <w:tcPr>
            <w:tcW w:w="221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5"/>
              </w:rPr>
              <w:pict>
                <v:shape id="_x0000_i1045" style="width:62.25pt;height:49.5pt" coordsize="" o:spt="100" adj="0,,0" path="" filled="f" stroked="f">
                  <v:stroke joinstyle="miter"/>
                  <v:imagedata r:id="rId29" o:title="base_1_282529_32788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tcBorders>
              <w:bottom w:val="nil"/>
            </w:tcBorders>
            <w:vAlign w:val="center"/>
          </w:tcPr>
          <w:p w:rsidR="004B335F" w:rsidRDefault="004B335F">
            <w:pPr>
              <w:pStyle w:val="ConsPlusNormal"/>
            </w:pPr>
            <w:r>
              <w:t>Ртр - среднесписочная численность работников организаций (</w:t>
            </w:r>
            <w:hyperlink r:id="rId30" w:history="1">
              <w:r>
                <w:rPr>
                  <w:color w:val="0000FF"/>
                </w:rPr>
                <w:t>Разделы G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H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I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J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K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L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M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N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O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Q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Merge w:val="restart"/>
            <w:vAlign w:val="center"/>
          </w:tcPr>
          <w:p w:rsidR="004B335F" w:rsidRDefault="004B335F">
            <w:pPr>
              <w:pStyle w:val="ConsPlusNormal"/>
            </w:pPr>
            <w:r>
              <w:t>Росстат</w:t>
            </w:r>
          </w:p>
        </w:tc>
        <w:tc>
          <w:tcPr>
            <w:tcW w:w="1191" w:type="dxa"/>
            <w:vMerge w:val="restart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4B335F" w:rsidRDefault="004B335F">
            <w:pPr>
              <w:pStyle w:val="ConsPlusNormal"/>
            </w:pPr>
            <w:r>
              <w:t>Индикатор, комплексно характеризующий разнообразие возможности в городе. Высокая доля третичного сектора экономики в городе говорит о большом разнообразии видов деятельности и работ, о большом количестве организаций, которые позитивно влияют на многие параметры городской среды.</w:t>
            </w:r>
          </w:p>
        </w:tc>
      </w:tr>
      <w:tr w:rsidR="004B335F">
        <w:tc>
          <w:tcPr>
            <w:tcW w:w="567" w:type="dxa"/>
            <w:vMerge/>
          </w:tcPr>
          <w:p w:rsidR="004B335F" w:rsidRDefault="004B335F"/>
        </w:tc>
        <w:tc>
          <w:tcPr>
            <w:tcW w:w="1304" w:type="dxa"/>
            <w:vMerge/>
          </w:tcPr>
          <w:p w:rsidR="004B335F" w:rsidRDefault="004B335F"/>
        </w:tc>
        <w:tc>
          <w:tcPr>
            <w:tcW w:w="2381" w:type="dxa"/>
            <w:vMerge/>
          </w:tcPr>
          <w:p w:rsidR="004B335F" w:rsidRDefault="004B335F"/>
        </w:tc>
        <w:tc>
          <w:tcPr>
            <w:tcW w:w="2211" w:type="dxa"/>
            <w:vMerge/>
          </w:tcPr>
          <w:p w:rsidR="004B335F" w:rsidRDefault="004B335F"/>
        </w:tc>
        <w:tc>
          <w:tcPr>
            <w:tcW w:w="2891" w:type="dxa"/>
            <w:tcBorders>
              <w:top w:val="nil"/>
            </w:tcBorders>
          </w:tcPr>
          <w:p w:rsidR="004B335F" w:rsidRDefault="004B335F">
            <w:pPr>
              <w:pStyle w:val="ConsPlusNormal"/>
            </w:pPr>
            <w:r>
              <w:t>Ртр - численность работников организаций всего</w:t>
            </w:r>
          </w:p>
        </w:tc>
        <w:tc>
          <w:tcPr>
            <w:tcW w:w="850" w:type="dxa"/>
            <w:vMerge/>
          </w:tcPr>
          <w:p w:rsidR="004B335F" w:rsidRDefault="004B335F"/>
        </w:tc>
        <w:tc>
          <w:tcPr>
            <w:tcW w:w="794" w:type="dxa"/>
            <w:vMerge/>
          </w:tcPr>
          <w:p w:rsidR="004B335F" w:rsidRDefault="004B335F"/>
        </w:tc>
        <w:tc>
          <w:tcPr>
            <w:tcW w:w="1191" w:type="dxa"/>
            <w:vMerge/>
          </w:tcPr>
          <w:p w:rsidR="004B335F" w:rsidRDefault="004B335F"/>
        </w:tc>
        <w:tc>
          <w:tcPr>
            <w:tcW w:w="1191" w:type="dxa"/>
            <w:vMerge/>
          </w:tcPr>
          <w:p w:rsidR="004B335F" w:rsidRDefault="004B335F"/>
        </w:tc>
        <w:tc>
          <w:tcPr>
            <w:tcW w:w="3628" w:type="dxa"/>
            <w:vMerge/>
          </w:tcPr>
          <w:p w:rsidR="004B335F" w:rsidRDefault="004B335F"/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20" w:name="P501"/>
            <w:bookmarkEnd w:id="20"/>
            <w:r>
              <w:t>31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</w:tcPr>
          <w:p w:rsidR="004B335F" w:rsidRDefault="004B335F">
            <w:pPr>
              <w:pStyle w:val="ConsPlusNormal"/>
            </w:pPr>
            <w:r>
              <w:t xml:space="preserve">Доля дворовых территорий, прошедших инвентаризацию, на которые оформлен электронный паспорт к общему количеству дворовых </w:t>
            </w:r>
            <w:r>
              <w:lastRenderedPageBreak/>
              <w:t>территорий, находящихся в муниципалитете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29"/>
              </w:rPr>
              <w:lastRenderedPageBreak/>
              <w:pict>
                <v:shape id="_x0000_i1046" style="width:79.5pt;height:43.5pt" coordsize="" o:spt="100" adj="0,,0" path="" filled="f" stroked="f">
                  <v:stroke joinstyle="miter"/>
                  <v:imagedata r:id="rId40" o:title="base_1_282529_32789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t>р - количество дворовых территорий, прошедших инвентаризацию, на которые оформлен электронный паспорт;</w:t>
            </w:r>
          </w:p>
          <w:p w:rsidR="004B335F" w:rsidRDefault="004B335F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t>о - общее количество дворовых территорий, находящихся в муниципалитете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Данный индикатор позволяет оценивать качество организации территории муниципалитета в части дворовых территорий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Доля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территорий, прошедших инвентаризацию, на которые оформлен электронный паспорт к общему количеству общественных территорий, находящихся в муниципалитете</w:t>
            </w:r>
          </w:p>
        </w:tc>
        <w:tc>
          <w:tcPr>
            <w:tcW w:w="2211" w:type="dxa"/>
          </w:tcPr>
          <w:p w:rsidR="004B335F" w:rsidRDefault="004B335F">
            <w:pPr>
              <w:pStyle w:val="ConsPlusNormal"/>
            </w:pPr>
            <w:r w:rsidRPr="00DF70DA">
              <w:rPr>
                <w:position w:val="-29"/>
              </w:rPr>
              <w:pict>
                <v:shape id="_x0000_i1047" style="width:75.75pt;height:43.5pt" coordsize="" o:spt="100" adj="0,,0" path="" filled="f" stroked="f">
                  <v:stroke joinstyle="miter"/>
                  <v:imagedata r:id="rId41" o:title="base_1_282529_32790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proofErr w:type="gramStart"/>
            <w:r>
              <w:t>Тр</w:t>
            </w:r>
            <w:proofErr w:type="gramEnd"/>
            <w:r>
              <w:t xml:space="preserve"> - количество общественных территорий, прошедших инвентаризацию, на которые оформлен электронный паспорт;</w:t>
            </w:r>
          </w:p>
          <w:p w:rsidR="004B335F" w:rsidRDefault="004B335F">
            <w:pPr>
              <w:pStyle w:val="ConsPlusNormal"/>
            </w:pPr>
            <w:r>
              <w:t xml:space="preserve">То - общее количество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территорий, находящихся в муниципалитете</w:t>
            </w:r>
          </w:p>
        </w:tc>
        <w:tc>
          <w:tcPr>
            <w:tcW w:w="850" w:type="dxa"/>
            <w:vAlign w:val="bottom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bottom"/>
          </w:tcPr>
          <w:p w:rsidR="004B335F" w:rsidRDefault="004B335F">
            <w:pPr>
              <w:pStyle w:val="ConsPlusNormal"/>
            </w:pPr>
            <w:r>
              <w:t>%</w:t>
            </w:r>
          </w:p>
        </w:tc>
        <w:tc>
          <w:tcPr>
            <w:tcW w:w="1191" w:type="dxa"/>
            <w:vAlign w:val="bottom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Данный индикатор позволяет оценивать качество организации территории муниципалитета в части общественных пространств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</w:tcPr>
          <w:p w:rsidR="004B335F" w:rsidRDefault="004B335F">
            <w:pPr>
              <w:pStyle w:val="ConsPlusNormal"/>
            </w:pPr>
            <w:r>
              <w:t>Доля дворовых территорий, благоустройство которых выполнено при финансовом участии граждан, организаций в выполнении мероприятий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3"/>
              </w:rPr>
              <w:pict>
                <v:shape id="_x0000_i1048" style="width:93.75pt;height:48pt" coordsize="" o:spt="100" adj="0,,0" path="" filled="f" stroked="f">
                  <v:stroke joinstyle="miter"/>
                  <v:imagedata r:id="rId42" o:title="base_1_282529_32791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t>бл - количество дворовых территорий, благоустройство которых выполнено при финансовом участии граждан, организаций</w:t>
            </w:r>
          </w:p>
          <w:p w:rsidR="004B335F" w:rsidRDefault="004B335F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t xml:space="preserve">всего - количество дворовых территорий требующих </w:t>
            </w:r>
            <w:r>
              <w:lastRenderedPageBreak/>
              <w:t>благоустройства по результатам инвентаризации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 xml:space="preserve">Финансовое вовлечение граждан, организаций в реализацию мероприятий по благоустройству дворовых территорий, их готовность вкладывать свои средства в такие мероприятия свидетельствует об эффективной организации работы с гражданами, </w:t>
            </w:r>
            <w:r>
              <w:lastRenderedPageBreak/>
              <w:t>организациями при осуществлении мероприятий по формированию комфортной городской среды в муниципалитете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Доля общественных территорий, благоустройство которых выполнено при финансовом участии граждан, организаций в выполнении мероприятий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3"/>
              </w:rPr>
              <w:pict>
                <v:shape id="_x0000_i1049" style="width:91.5pt;height:48pt" coordsize="" o:spt="100" adj="0,,0" path="" filled="f" stroked="f">
                  <v:stroke joinstyle="miter"/>
                  <v:imagedata r:id="rId43" o:title="base_1_282529_32792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бл</w:t>
            </w:r>
            <w:r>
              <w:t xml:space="preserve"> - количество общественных территорий, благоустройство которых выполнено при финансовом участии граждан, организаций</w:t>
            </w:r>
          </w:p>
          <w:p w:rsidR="004B335F" w:rsidRDefault="004B335F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всего</w:t>
            </w:r>
            <w:r>
              <w:t xml:space="preserve"> - количество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территорий требующих благоустройства по результатам инвентаризации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Финансовое вовлечение граждан, организаций в реализацию мероприятий по благоустройству общественных территорий, их готовность вкладывать свои средства в такие мероприятия свидетельствует об эффективной организации работы с гражданами, организациями при осуществлении мероприятий по формированию комфортной городской среды в муниципалитете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</w:tcPr>
          <w:p w:rsidR="004B335F" w:rsidRDefault="004B335F">
            <w:pPr>
              <w:pStyle w:val="ConsPlusNormal"/>
            </w:pPr>
            <w:r>
              <w:t xml:space="preserve">Степень привлечения граждан и общественных организаций к реализации </w:t>
            </w:r>
            <w:r>
              <w:lastRenderedPageBreak/>
              <w:t>мероприятий по формированию комфортной городской среды</w:t>
            </w:r>
          </w:p>
        </w:tc>
        <w:tc>
          <w:tcPr>
            <w:tcW w:w="2211" w:type="dxa"/>
          </w:tcPr>
          <w:p w:rsidR="004B335F" w:rsidRDefault="004B335F">
            <w:pPr>
              <w:pStyle w:val="ConsPlusNormal"/>
            </w:pPr>
            <w:proofErr w:type="gramStart"/>
            <w:r>
              <w:lastRenderedPageBreak/>
              <w:t>согласно методики</w:t>
            </w:r>
            <w:proofErr w:type="gramEnd"/>
            <w:r>
              <w:t xml:space="preserve">, разработанной Минстроем России во исполнение </w:t>
            </w:r>
            <w:r>
              <w:lastRenderedPageBreak/>
              <w:t>подпункта в) пункта 1 перечня Поручений Президента РФ от 07.09.2017 N Пр-1773</w: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 xml:space="preserve">Высокая степень вовлечения граждан и общественных организаций к реализации мероприятий по формированию комфортной городской среды </w:t>
            </w:r>
            <w:r>
              <w:lastRenderedPageBreak/>
              <w:t>свидетельствует об эффективной работе органов местного самоуправления в рамках реализации приоритетного проекта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Доля внебюджетных средств, израсходованных на мероприятия, предусмотренных муниципальными программами формирования комфортной городской среды на 2017 - 2022 г. г. к общему объему израсходованных средств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Sr / </w:t>
            </w:r>
            <w:proofErr w:type="gramStart"/>
            <w:r>
              <w:t>S</w:t>
            </w:r>
            <w:proofErr w:type="gramEnd"/>
            <w:r>
              <w:t>о * 100%</w: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r>
              <w:t xml:space="preserve">Sr - объем внебюджетных средств, израсходованных на мероприятия, предусмотренных муниципальными программами формирования комфортной городской среды на 2017 - 2022 г. </w:t>
            </w:r>
            <w:proofErr w:type="gramStart"/>
            <w:r>
              <w:t>г</w:t>
            </w:r>
            <w:proofErr w:type="gramEnd"/>
            <w:r>
              <w:t>.;</w:t>
            </w:r>
          </w:p>
          <w:p w:rsidR="004B335F" w:rsidRDefault="004B335F">
            <w:pPr>
              <w:pStyle w:val="ConsPlusNormal"/>
            </w:pPr>
            <w:proofErr w:type="gramStart"/>
            <w:r>
              <w:t>S</w:t>
            </w:r>
            <w:proofErr w:type="gramEnd"/>
            <w:r>
              <w:t>о - общий объем израсходованных средств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 xml:space="preserve">Высокая доля </w:t>
            </w:r>
            <w:proofErr w:type="gramStart"/>
            <w:r>
              <w:t>внебюджетных средств, расходуемых на финансирование мероприятий по благоустройству в рамках реализации муниципальных программ формирования комфортной городской среды свидетельствует</w:t>
            </w:r>
            <w:proofErr w:type="gramEnd"/>
            <w:r>
              <w:t xml:space="preserve"> об эффективной работе органов власти с гражданами, организациями по их вовлечению в приоритетный проект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</w:tcPr>
          <w:p w:rsidR="004B335F" w:rsidRDefault="004B335F">
            <w:pPr>
              <w:pStyle w:val="ConsPlusNormal"/>
            </w:pPr>
            <w:r>
              <w:t xml:space="preserve">Степень реализации муниципальных программ формирования современной </w:t>
            </w:r>
            <w:r>
              <w:lastRenderedPageBreak/>
              <w:t xml:space="preserve">городской среды в 2017 - 2022 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 xml:space="preserve">Kr / </w:t>
            </w:r>
            <w:proofErr w:type="gramStart"/>
            <w:r>
              <w:t>K</w:t>
            </w:r>
            <w:proofErr w:type="gramEnd"/>
            <w:r>
              <w:t>р * 100%</w: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r>
              <w:t>К</w:t>
            </w:r>
            <w:proofErr w:type="gramStart"/>
            <w:r>
              <w:t>r</w:t>
            </w:r>
            <w:proofErr w:type="gramEnd"/>
            <w:r>
              <w:t xml:space="preserve"> - количество мероприятий программы, реализованных в полном объеме в установленный срок;</w:t>
            </w:r>
          </w:p>
          <w:p w:rsidR="004B335F" w:rsidRDefault="004B335F">
            <w:pPr>
              <w:pStyle w:val="ConsPlusNormal"/>
            </w:pPr>
            <w:proofErr w:type="gramStart"/>
            <w:r>
              <w:lastRenderedPageBreak/>
              <w:t>Кр</w:t>
            </w:r>
            <w:proofErr w:type="gramEnd"/>
            <w:r>
              <w:t xml:space="preserve"> - общее количество мероприятий программы, подлежащих реализации в установленный срок;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 xml:space="preserve">Своевременная и качественная реализация муниципальных программ свидетельствует об эффективной организации работы муниципального </w:t>
            </w:r>
            <w:r>
              <w:lastRenderedPageBreak/>
              <w:t>образования в части создания комфортной городской среды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0"/>
              </w:rPr>
              <w:pict>
                <v:shape id="_x0000_i1050" style="width:104.25pt;height:44.25pt" coordsize="" o:spt="100" adj="0,,0" path="" filled="f" stroked="f">
                  <v:stroke joinstyle="miter"/>
                  <v:imagedata r:id="rId44" o:title="base_1_282529_32793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r>
              <w:t>МКДзу - Количество многоквартирных домов в муниципальном образовании расположенных на земельных участках, в отношении которых осуществлен государственный кадастровый учет</w:t>
            </w:r>
          </w:p>
          <w:p w:rsidR="004B335F" w:rsidRDefault="004B335F">
            <w:pPr>
              <w:pStyle w:val="ConsPlusNormal"/>
            </w:pPr>
            <w:r>
              <w:t>МКД - общее количество многоквартирных домов в муниципальном образовании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Росстат </w:t>
            </w:r>
            <w:hyperlink r:id="rId45" w:history="1">
              <w:r>
                <w:rPr>
                  <w:color w:val="0000FF"/>
                </w:rPr>
                <w:t>приложение к форме 1-МО</w:t>
              </w:r>
            </w:hyperlink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>Выделение и закрепление в кадастровом учете границ земельных участков, входящих в состав общего имущества многоквартирного дома, свидетельствует об упорядоченности правоотношений в районах жилой застройки, снижает риски конфликтов по поводу использования таких территорий, создает предпосылки для реализации эффективных программ благоустройства дворовых территорий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Доля благоустроенных дворовых территорий от </w:t>
            </w:r>
            <w:r>
              <w:lastRenderedPageBreak/>
              <w:t xml:space="preserve">общего количества дворовых территорий, нуждающихся в благоустройстве и включенных в муниципальную программу формирования комфортной городской среды на 2018 - 2022 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3"/>
              </w:rPr>
              <w:lastRenderedPageBreak/>
              <w:pict>
                <v:shape id="_x0000_i1051" style="width:93.75pt;height:48pt" coordsize="" o:spt="100" adj="0,,0" path="" filled="f" stroked="f">
                  <v:stroke joinstyle="miter"/>
                  <v:imagedata r:id="rId46" o:title="base_1_282529_32794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t xml:space="preserve">бл - количество дворовых территорий, не нуждающихся в благоустройстве по </w:t>
            </w:r>
            <w:r>
              <w:lastRenderedPageBreak/>
              <w:t>результатам инвентаризации</w:t>
            </w:r>
          </w:p>
          <w:p w:rsidR="004B335F" w:rsidRDefault="004B335F">
            <w:pPr>
              <w:pStyle w:val="ConsPlusNormal"/>
            </w:pPr>
            <w:proofErr w:type="gramStart"/>
            <w:r>
              <w:t>D</w:t>
            </w:r>
            <w:proofErr w:type="gramEnd"/>
            <w:r>
              <w:t>всего - количество дворовых территорий, требующих благоустройства по результатам инвентаризации и включенных в муниципальную программу формирования комфортной городской среды на 2018 - 2022 г. г.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 xml:space="preserve">Оценка осуществляется на основании размещенной в ГИС ЖКХ органами местного самоуправления </w:t>
            </w:r>
            <w:r>
              <w:lastRenderedPageBreak/>
              <w:t>информации. Своевременность и полнота охвата мероприятиями по благоустройству дворовых территорий свидетельствует об эффективном осуществлении мероприятий по улучшению качества городской среды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21" w:name="P607"/>
            <w:bookmarkEnd w:id="21"/>
            <w:r>
              <w:lastRenderedPageBreak/>
              <w:t>40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381" w:type="dxa"/>
          </w:tcPr>
          <w:p w:rsidR="004B335F" w:rsidRDefault="004B335F">
            <w:pPr>
              <w:pStyle w:val="ConsPlusNormal"/>
            </w:pPr>
            <w:r>
              <w:t xml:space="preserve">Доля </w:t>
            </w:r>
            <w:proofErr w:type="gramStart"/>
            <w:r>
              <w:t>благоустроенных</w:t>
            </w:r>
            <w:proofErr w:type="gramEnd"/>
            <w:r>
              <w:t xml:space="preserve"> общественных территорий от общего количества общественных территорий, нуждающихся в благоустройстве и включенных в муниципальную </w:t>
            </w:r>
            <w:r>
              <w:lastRenderedPageBreak/>
              <w:t>программу формирования комфортной городской среды на 2018 - 2022 г. г.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 w:rsidRPr="00DF70DA">
              <w:rPr>
                <w:position w:val="-33"/>
              </w:rPr>
              <w:lastRenderedPageBreak/>
              <w:pict>
                <v:shape id="_x0000_i1052" style="width:91.5pt;height:48pt" coordsize="" o:spt="100" adj="0,,0" path="" filled="f" stroked="f">
                  <v:stroke joinstyle="miter"/>
                  <v:imagedata r:id="rId47" o:title="base_1_282529_32795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</w:tcPr>
          <w:p w:rsidR="004B335F" w:rsidRDefault="004B335F">
            <w:pPr>
              <w:pStyle w:val="ConsPlusNormal"/>
            </w:pPr>
            <w:r>
              <w:t xml:space="preserve">Тбл - количество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территорий, не нуждающихся в благоустройстве по результатам инвентаризации</w:t>
            </w:r>
          </w:p>
          <w:p w:rsidR="004B335F" w:rsidRDefault="004B335F">
            <w:pPr>
              <w:pStyle w:val="ConsPlusNormal"/>
            </w:pPr>
            <w:r>
              <w:t xml:space="preserve">Твсего - количество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территорий, требующих благоустройства по </w:t>
            </w:r>
            <w:r>
              <w:lastRenderedPageBreak/>
              <w:t>результатам инвентаризации и включенных в муниципальную программу формирования комфортной городской среды на 2018 - 2022 г. г.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4B335F" w:rsidRDefault="004B335F">
            <w:pPr>
              <w:pStyle w:val="ConsPlusNormal"/>
            </w:pPr>
            <w:r>
              <w:t xml:space="preserve">Оценка осуществляется на основании размещенной в ГИС ЖКХ органами местного самоуправления информации. Своевременность и полнота охвата мероприятиями по благоустройству общественных территорий муниципалитетов свидетельствует об эффективном </w:t>
            </w:r>
            <w:r>
              <w:lastRenderedPageBreak/>
              <w:t>осуществлении мероприятий по улучшению качества городской среды</w:t>
            </w:r>
          </w:p>
        </w:tc>
      </w:tr>
      <w:tr w:rsidR="004B335F">
        <w:tc>
          <w:tcPr>
            <w:tcW w:w="56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bookmarkStart w:id="22" w:name="P619"/>
            <w:bookmarkEnd w:id="22"/>
            <w:r>
              <w:lastRenderedPageBreak/>
              <w:t>41</w:t>
            </w:r>
          </w:p>
        </w:tc>
        <w:tc>
          <w:tcPr>
            <w:tcW w:w="1304" w:type="dxa"/>
            <w:vAlign w:val="center"/>
          </w:tcPr>
          <w:p w:rsidR="004B335F" w:rsidRDefault="004B335F">
            <w:pPr>
              <w:pStyle w:val="ConsPlusNormal"/>
            </w:pPr>
            <w:r>
              <w:t>Муниципальные образования - получатели субсидии</w:t>
            </w:r>
          </w:p>
        </w:tc>
        <w:tc>
          <w:tcPr>
            <w:tcW w:w="2381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Доля обязательств, предусмотренных соглашением о предоставлении субсидии, выполненных в </w:t>
            </w:r>
            <w:proofErr w:type="gramStart"/>
            <w:r>
              <w:t>установленный</w:t>
            </w:r>
            <w:proofErr w:type="gramEnd"/>
            <w:r>
              <w:t xml:space="preserve"> сроке надлежащим качеством по отношению к общему объему обязательств, предусмотренных соглашением, заключенным с Минстроем </w:t>
            </w:r>
            <w:r>
              <w:lastRenderedPageBreak/>
              <w:t>России в 2017 году применительно к субъекту РФ</w:t>
            </w:r>
          </w:p>
        </w:tc>
        <w:tc>
          <w:tcPr>
            <w:tcW w:w="2211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 xml:space="preserve">Kr / </w:t>
            </w:r>
            <w:proofErr w:type="gramStart"/>
            <w:r>
              <w:t>K</w:t>
            </w:r>
            <w:proofErr w:type="gramEnd"/>
            <w:r>
              <w:t>о * 100%</w:t>
            </w:r>
          </w:p>
        </w:tc>
        <w:tc>
          <w:tcPr>
            <w:tcW w:w="2891" w:type="dxa"/>
            <w:vAlign w:val="center"/>
          </w:tcPr>
          <w:p w:rsidR="004B335F" w:rsidRDefault="004B335F">
            <w:pPr>
              <w:pStyle w:val="ConsPlusNormal"/>
            </w:pPr>
            <w:r>
              <w:t>К</w:t>
            </w:r>
            <w:proofErr w:type="gramStart"/>
            <w:r>
              <w:t>r</w:t>
            </w:r>
            <w:proofErr w:type="gramEnd"/>
            <w:r>
              <w:t xml:space="preserve"> - количество обязательств, выполненных в полном объеме в установленный срок;</w:t>
            </w:r>
          </w:p>
          <w:p w:rsidR="004B335F" w:rsidRDefault="004B335F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обязательств, предусмотренных соглашением;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4B335F" w:rsidRDefault="004B335F">
            <w:pPr>
              <w:pStyle w:val="ConsPlusNormal"/>
            </w:pPr>
            <w:r>
              <w:t>процент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ГИС</w:t>
            </w:r>
          </w:p>
          <w:p w:rsidR="004B335F" w:rsidRDefault="004B335F">
            <w:pPr>
              <w:pStyle w:val="ConsPlusNormal"/>
            </w:pPr>
            <w:r>
              <w:t>ЖКХ</w:t>
            </w:r>
          </w:p>
        </w:tc>
        <w:tc>
          <w:tcPr>
            <w:tcW w:w="1191" w:type="dxa"/>
            <w:vAlign w:val="center"/>
          </w:tcPr>
          <w:p w:rsidR="004B335F" w:rsidRDefault="004B335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  <w:vAlign w:val="center"/>
          </w:tcPr>
          <w:p w:rsidR="004B335F" w:rsidRDefault="004B335F">
            <w:pPr>
              <w:pStyle w:val="ConsPlusNormal"/>
            </w:pPr>
            <w:r>
              <w:t>Своевременное и качественное исполнение взятых по соглашению обязатель</w:t>
            </w:r>
            <w:proofErr w:type="gramStart"/>
            <w:r>
              <w:t>ств св</w:t>
            </w:r>
            <w:proofErr w:type="gramEnd"/>
            <w:r>
              <w:t>идетельствует об эффективной организации работы муниципального образования в части создания комфортной городской среды</w:t>
            </w:r>
          </w:p>
        </w:tc>
      </w:tr>
    </w:tbl>
    <w:p w:rsidR="004B335F" w:rsidRDefault="004B335F">
      <w:pPr>
        <w:sectPr w:rsidR="004B33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right"/>
        <w:outlineLvl w:val="2"/>
      </w:pPr>
      <w:r>
        <w:t>Таблица N 2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center"/>
      </w:pPr>
      <w:bookmarkStart w:id="23" w:name="P636"/>
      <w:bookmarkEnd w:id="23"/>
      <w:r>
        <w:t>Лист оценки муниципального образования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r>
        <w:t>Наименование субъекта Российской Федерации _____________________</w:t>
      </w:r>
    </w:p>
    <w:p w:rsidR="004B335F" w:rsidRDefault="004B335F">
      <w:pPr>
        <w:pStyle w:val="ConsPlusNormal"/>
        <w:spacing w:before="280"/>
        <w:ind w:firstLine="540"/>
        <w:jc w:val="both"/>
      </w:pPr>
      <w:r>
        <w:t>Наименование муниципального образования ______________________</w:t>
      </w:r>
    </w:p>
    <w:p w:rsidR="004B335F" w:rsidRDefault="004B3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60"/>
        <w:gridCol w:w="2778"/>
        <w:gridCol w:w="3344"/>
        <w:gridCol w:w="850"/>
      </w:tblGrid>
      <w:tr w:rsidR="004B335F">
        <w:tc>
          <w:tcPr>
            <w:tcW w:w="737" w:type="dxa"/>
          </w:tcPr>
          <w:p w:rsidR="004B335F" w:rsidRDefault="004B335F">
            <w:pPr>
              <w:pStyle w:val="ConsPlusNormal"/>
              <w:jc w:val="center"/>
            </w:pPr>
            <w:r>
              <w:t>N индикатора</w:t>
            </w:r>
          </w:p>
        </w:tc>
        <w:tc>
          <w:tcPr>
            <w:tcW w:w="1360" w:type="dxa"/>
          </w:tcPr>
          <w:p w:rsidR="004B335F" w:rsidRDefault="004B335F">
            <w:pPr>
              <w:pStyle w:val="ConsPlusNormal"/>
              <w:jc w:val="center"/>
            </w:pPr>
            <w:r>
              <w:t>Категория</w:t>
            </w:r>
          </w:p>
          <w:p w:rsidR="004B335F" w:rsidRDefault="004B335F">
            <w:pPr>
              <w:pStyle w:val="ConsPlusNormal"/>
              <w:jc w:val="center"/>
            </w:pPr>
            <w:r>
              <w:t>(город, городские поселения, сельские поселения)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3344" w:type="dxa"/>
          </w:tcPr>
          <w:p w:rsidR="004B335F" w:rsidRDefault="004B335F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  <w:jc w:val="center"/>
            </w:pPr>
            <w:r>
              <w:t>Значение индикатора</w:t>
            </w:r>
          </w:p>
        </w:tc>
      </w:tr>
      <w:tr w:rsidR="004B335F">
        <w:tc>
          <w:tcPr>
            <w:tcW w:w="4875" w:type="dxa"/>
            <w:gridSpan w:val="3"/>
            <w:vAlign w:val="center"/>
          </w:tcPr>
          <w:p w:rsidR="004B335F" w:rsidRDefault="004B335F">
            <w:pPr>
              <w:pStyle w:val="ConsPlusNormal"/>
            </w:pPr>
            <w:r>
              <w:t>Состояние среды жилья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Сумма баллов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жилья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Процент населения, живущего в аварийном жилье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жилья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Процент населения, живущего в жилье, обеспеченном централизованными услугами тепл</w:t>
            </w:r>
            <w:proofErr w:type="gramStart"/>
            <w:r>
              <w:t>о-</w:t>
            </w:r>
            <w:proofErr w:type="gramEnd"/>
            <w:r>
              <w:t>, водо-, электроснабжения, водоотведения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жилья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вывезенных</w:t>
            </w:r>
            <w:proofErr w:type="gramEnd"/>
            <w:r>
              <w:t xml:space="preserve"> ТКО на душу населения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жилья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Разнообразие жилой застройки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 xml:space="preserve">Состояние среды </w:t>
            </w:r>
            <w:r>
              <w:lastRenderedPageBreak/>
              <w:t>жилья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 xml:space="preserve">Разнообразие функций в </w:t>
            </w:r>
            <w:r>
              <w:lastRenderedPageBreak/>
              <w:t>жилой зоне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4875" w:type="dxa"/>
            <w:gridSpan w:val="3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>Состояние среды уличной инфраструктуры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Сумма баллов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уличной инфраструктуры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Количество ДТП с участием пешеходов со смертельным исходом на душу населения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уличной инфраструктуры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улично-дорожной сети, обеспеченной ливневой канализацией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уличной инфраструктуры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Загруженность дорог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уличной инфраструктуры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Количество улиц с </w:t>
            </w:r>
            <w:proofErr w:type="gramStart"/>
            <w:r>
              <w:t>развитым</w:t>
            </w:r>
            <w:proofErr w:type="gramEnd"/>
            <w:r>
              <w:t xml:space="preserve"> стрит-ритейлом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уличной инфраструктуры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Индекс пешеходной доступности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4875" w:type="dxa"/>
            <w:gridSpan w:val="3"/>
          </w:tcPr>
          <w:p w:rsidR="004B335F" w:rsidRDefault="004B335F">
            <w:pPr>
              <w:pStyle w:val="ConsPlusNormal"/>
            </w:pPr>
            <w:r>
              <w:t>Состояние среды озелененных и прибрежных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Сумма баллов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озелененных и прибрежных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озелененных территорий общего пользования (парки, сады и др.) в площади всех зеленых насаждений в целом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озелененных и прибрежных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Доступность парков или обустроенного природного ландшафта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озелененных и прибрежных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Состояние зеленых насаждений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озелененных и прибрежных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Количество фотографий из социальных сетей, сделанных горожанами на озелененных территориях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озелененных и прибрежных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Количество разнообразных услуг для горожан на озелененных территориях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4875" w:type="dxa"/>
            <w:gridSpan w:val="3"/>
            <w:vAlign w:val="center"/>
          </w:tcPr>
          <w:p w:rsidR="004B335F" w:rsidRDefault="004B335F">
            <w:pPr>
              <w:pStyle w:val="ConsPlusNormal"/>
            </w:pPr>
            <w:r>
              <w:t>Состояние среды общественно-деловой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Сумма баллов</w:t>
            </w:r>
          </w:p>
        </w:tc>
        <w:tc>
          <w:tcPr>
            <w:tcW w:w="850" w:type="dxa"/>
            <w:vAlign w:val="center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общественно-деловой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освещенных частей улиц, проездов, набережных на конец года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общественно-деловой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общественно-деловых районов с развитием по типу mixed-use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общественно-деловой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площади города, убираемая механизированным способом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общественно-деловой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Концентрация объектов культурного наследия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общественно-деловой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Уровень развития общественно-деловых районов города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4875" w:type="dxa"/>
            <w:gridSpan w:val="3"/>
            <w:vAlign w:val="center"/>
          </w:tcPr>
          <w:p w:rsidR="004B335F" w:rsidRDefault="004B335F">
            <w:pPr>
              <w:pStyle w:val="ConsPlusNormal"/>
            </w:pPr>
            <w:r>
              <w:t>Состояние среды социально-досуговой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Сумма баллов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социально-досуговой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Безопасность передвижения вблизи учреждений социального обслуживания населения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социально-досуговой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Разнообразие предоставляемых сервисов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социально-досуговой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Доступность спортивных площадок для населения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социально-досуговой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объектов культурного наследия, в которых размещаются театр, музеи, библиотеки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социально-досуговой инфраструктуры и прилегающих пространств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Посещаемость музеев и театров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4875" w:type="dxa"/>
            <w:gridSpan w:val="3"/>
            <w:vAlign w:val="center"/>
          </w:tcPr>
          <w:p w:rsidR="004B335F" w:rsidRDefault="004B335F">
            <w:pPr>
              <w:pStyle w:val="ConsPlusNormal"/>
            </w:pPr>
            <w:r>
              <w:t>Состояние среды общегородского пространства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Сумма баллов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общегородского пространства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Общее количество ДТП в городе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общегородского пространства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Среднее расстояние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остановка</w:t>
            </w:r>
            <w:proofErr w:type="gramEnd"/>
            <w:r>
              <w:t xml:space="preserve"> общественного транспорта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общегородского пространства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Отношение площади зеленых насаждений внутри застроенной территории к общей площади застроенных </w:t>
            </w:r>
            <w:r>
              <w:lastRenderedPageBreak/>
              <w:t>земель в пределах городской черты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общегородского пространства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Количество мест, в которых сконцентрировано наибольшее количество фотографий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Города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Состояние среды общегородского пространства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горожан, работающих в третичном секторе экономики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Эффективность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дворовых территорий, прошедших инвентаризацию, на которые оформлен электронный паспорт к общему количеству дворовых территорий, находящихся в муниципалитете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Эффективность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Доля </w:t>
            </w:r>
            <w:proofErr w:type="gramStart"/>
            <w:r>
              <w:t>общественных</w:t>
            </w:r>
            <w:proofErr w:type="gramEnd"/>
            <w:r>
              <w:t xml:space="preserve"> территорий, прошедших инвентаризацию, на которые оформлен электронный паспорт к общему количеству общественных территорий, находящихся в муниципалитете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Степень участия граждан и организаций в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дворовых территорий, благоустройство которых выполнено при финансовом участии граждан, организаций в выполнении мероприятий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 xml:space="preserve">Степень участия граждан и организаций в реализации приоритетного </w:t>
            </w:r>
            <w:r>
              <w:lastRenderedPageBreak/>
              <w:t>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lastRenderedPageBreak/>
              <w:t xml:space="preserve">Доля общественных территорий, благоустройство которых выполнено при финансовом участии </w:t>
            </w:r>
            <w:r>
              <w:lastRenderedPageBreak/>
              <w:t>граждан, организаций в выполнении мероприятий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Степень участия граждан и организаций в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Степень привлечения граждан и общественных организаций к реализации мероприятий по формированию комфортной городской среды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Степень участия граждан и организаций в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внебюджетных средств, израсходованных на мероприятия, предусмотренных муниципальными программами формирования комфортной городской среды на 2017 - 2022 г. г. к общему объему израсходованных средств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Эффективность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Степень реализации муниципальных программ формирования современной городской среды в 2017 - 2022 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Эффективность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Эффективность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Доля благоустроенных дворовых территорий от общего количества дворовых территорий, нуждающихся в благоустройстве и включенных в муниципальную программу формирования </w:t>
            </w:r>
            <w:r>
              <w:lastRenderedPageBreak/>
              <w:t xml:space="preserve">комфортной городской среды на 2018 - 2022 г.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Все категории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Эффективность реализации приоритетного проекта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 xml:space="preserve">Доля </w:t>
            </w:r>
            <w:proofErr w:type="gramStart"/>
            <w:r>
              <w:t>благоустроенных</w:t>
            </w:r>
            <w:proofErr w:type="gramEnd"/>
            <w:r>
              <w:t xml:space="preserve"> общественных территорий от общего количества общественных территорий, нуждающихся в благоустройстве и включенных в муниципальную программу формирования комфортной городской среды на 2018 - 2022 г. г.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  <w:vAlign w:val="center"/>
          </w:tcPr>
          <w:p w:rsidR="004B335F" w:rsidRDefault="004B335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0" w:type="dxa"/>
            <w:vAlign w:val="center"/>
          </w:tcPr>
          <w:p w:rsidR="004B335F" w:rsidRDefault="004B335F">
            <w:pPr>
              <w:pStyle w:val="ConsPlusNormal"/>
            </w:pPr>
            <w:r>
              <w:t>Муниципальные образования - получатели субсидии</w:t>
            </w:r>
          </w:p>
        </w:tc>
        <w:tc>
          <w:tcPr>
            <w:tcW w:w="2778" w:type="dxa"/>
          </w:tcPr>
          <w:p w:rsidR="004B335F" w:rsidRDefault="004B335F">
            <w:pPr>
              <w:pStyle w:val="ConsPlusNormal"/>
            </w:pPr>
            <w:r>
              <w:t>Эффективность расходования субсидии</w:t>
            </w:r>
          </w:p>
        </w:tc>
        <w:tc>
          <w:tcPr>
            <w:tcW w:w="3344" w:type="dxa"/>
            <w:vAlign w:val="center"/>
          </w:tcPr>
          <w:p w:rsidR="004B335F" w:rsidRDefault="004B335F">
            <w:pPr>
              <w:pStyle w:val="ConsPlusNormal"/>
            </w:pPr>
            <w:r>
              <w:t>Доля обязательств, предусмотренных соглашением о предоставлении субсидии, выполненных в установленный срок с надлежащим качеством по отношению к общему объему обязательств, предусмотренных соглашением, заключенным с Минстроем России в 2017 году применительно к субъекту РФ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737" w:type="dxa"/>
          </w:tcPr>
          <w:p w:rsidR="004B335F" w:rsidRDefault="004B335F">
            <w:pPr>
              <w:pStyle w:val="ConsPlusNormal"/>
            </w:pPr>
          </w:p>
        </w:tc>
        <w:tc>
          <w:tcPr>
            <w:tcW w:w="7482" w:type="dxa"/>
            <w:gridSpan w:val="3"/>
          </w:tcPr>
          <w:p w:rsidR="004B335F" w:rsidRDefault="004B335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850" w:type="dxa"/>
          </w:tcPr>
          <w:p w:rsidR="004B335F" w:rsidRDefault="004B335F">
            <w:pPr>
              <w:pStyle w:val="ConsPlusNormal"/>
            </w:pPr>
          </w:p>
        </w:tc>
      </w:tr>
    </w:tbl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right"/>
        <w:outlineLvl w:val="2"/>
      </w:pPr>
      <w:r>
        <w:t>Таблица N 3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center"/>
      </w:pPr>
      <w:bookmarkStart w:id="24" w:name="P878"/>
      <w:bookmarkEnd w:id="24"/>
      <w:r>
        <w:t>Лист оценки субъекта Российской Федерации</w:t>
      </w: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ind w:firstLine="540"/>
        <w:jc w:val="both"/>
      </w:pPr>
      <w:r>
        <w:t>Наименование субъекта Российской Федерации _____________________</w:t>
      </w:r>
    </w:p>
    <w:p w:rsidR="004B335F" w:rsidRDefault="004B3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154"/>
        <w:gridCol w:w="3855"/>
        <w:gridCol w:w="1417"/>
      </w:tblGrid>
      <w:tr w:rsidR="004B335F">
        <w:tc>
          <w:tcPr>
            <w:tcW w:w="1644" w:type="dxa"/>
          </w:tcPr>
          <w:p w:rsidR="004B335F" w:rsidRDefault="004B33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4B335F" w:rsidRDefault="004B335F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r>
              <w:lastRenderedPageBreak/>
              <w:t>образования</w:t>
            </w:r>
          </w:p>
        </w:tc>
        <w:tc>
          <w:tcPr>
            <w:tcW w:w="3855" w:type="dxa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 xml:space="preserve">Населенный пункт, входящий в муниципальное образование, </w:t>
            </w:r>
            <w:r>
              <w:lastRenderedPageBreak/>
              <w:t>имеющее статус города (при наличии)</w:t>
            </w:r>
          </w:p>
        </w:tc>
        <w:tc>
          <w:tcPr>
            <w:tcW w:w="1417" w:type="dxa"/>
          </w:tcPr>
          <w:p w:rsidR="004B335F" w:rsidRDefault="004B335F">
            <w:pPr>
              <w:pStyle w:val="ConsPlusNormal"/>
              <w:jc w:val="center"/>
            </w:pPr>
            <w:r>
              <w:lastRenderedPageBreak/>
              <w:t>Значение Индекса</w:t>
            </w:r>
          </w:p>
        </w:tc>
      </w:tr>
      <w:tr w:rsidR="004B335F">
        <w:tc>
          <w:tcPr>
            <w:tcW w:w="164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215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3855" w:type="dxa"/>
          </w:tcPr>
          <w:p w:rsidR="004B335F" w:rsidRDefault="004B335F">
            <w:pPr>
              <w:pStyle w:val="ConsPlusNormal"/>
            </w:pPr>
          </w:p>
        </w:tc>
        <w:tc>
          <w:tcPr>
            <w:tcW w:w="1417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164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215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3855" w:type="dxa"/>
          </w:tcPr>
          <w:p w:rsidR="004B335F" w:rsidRDefault="004B335F">
            <w:pPr>
              <w:pStyle w:val="ConsPlusNormal"/>
            </w:pPr>
          </w:p>
        </w:tc>
        <w:tc>
          <w:tcPr>
            <w:tcW w:w="1417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164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215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3855" w:type="dxa"/>
          </w:tcPr>
          <w:p w:rsidR="004B335F" w:rsidRDefault="004B335F">
            <w:pPr>
              <w:pStyle w:val="ConsPlusNormal"/>
            </w:pPr>
          </w:p>
        </w:tc>
        <w:tc>
          <w:tcPr>
            <w:tcW w:w="1417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164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215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3855" w:type="dxa"/>
          </w:tcPr>
          <w:p w:rsidR="004B335F" w:rsidRDefault="004B335F">
            <w:pPr>
              <w:pStyle w:val="ConsPlusNormal"/>
            </w:pPr>
          </w:p>
        </w:tc>
        <w:tc>
          <w:tcPr>
            <w:tcW w:w="1417" w:type="dxa"/>
          </w:tcPr>
          <w:p w:rsidR="004B335F" w:rsidRDefault="004B335F">
            <w:pPr>
              <w:pStyle w:val="ConsPlusNormal"/>
            </w:pPr>
          </w:p>
        </w:tc>
      </w:tr>
      <w:tr w:rsidR="004B335F">
        <w:tc>
          <w:tcPr>
            <w:tcW w:w="1644" w:type="dxa"/>
          </w:tcPr>
          <w:p w:rsidR="004B335F" w:rsidRDefault="004B335F">
            <w:pPr>
              <w:pStyle w:val="ConsPlusNormal"/>
            </w:pPr>
            <w:r>
              <w:t>Итого:</w:t>
            </w:r>
          </w:p>
          <w:p w:rsidR="004B335F" w:rsidRDefault="004B335F">
            <w:pPr>
              <w:pStyle w:val="ConsPlusNormal"/>
            </w:pPr>
            <w:r>
              <w:t>Индекс по субъекту Российской Федерации</w:t>
            </w:r>
          </w:p>
        </w:tc>
        <w:tc>
          <w:tcPr>
            <w:tcW w:w="2154" w:type="dxa"/>
          </w:tcPr>
          <w:p w:rsidR="004B335F" w:rsidRDefault="004B335F">
            <w:pPr>
              <w:pStyle w:val="ConsPlusNormal"/>
            </w:pPr>
          </w:p>
        </w:tc>
        <w:tc>
          <w:tcPr>
            <w:tcW w:w="3855" w:type="dxa"/>
          </w:tcPr>
          <w:p w:rsidR="004B335F" w:rsidRDefault="004B335F">
            <w:pPr>
              <w:pStyle w:val="ConsPlusNormal"/>
            </w:pPr>
          </w:p>
        </w:tc>
        <w:tc>
          <w:tcPr>
            <w:tcW w:w="1417" w:type="dxa"/>
          </w:tcPr>
          <w:p w:rsidR="004B335F" w:rsidRDefault="004B335F">
            <w:pPr>
              <w:pStyle w:val="ConsPlusNormal"/>
            </w:pPr>
          </w:p>
        </w:tc>
      </w:tr>
    </w:tbl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jc w:val="both"/>
      </w:pPr>
    </w:p>
    <w:p w:rsidR="004B335F" w:rsidRDefault="004B3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C0B" w:rsidRDefault="00745C0B">
      <w:bookmarkStart w:id="25" w:name="_GoBack"/>
      <w:bookmarkEnd w:id="25"/>
    </w:p>
    <w:sectPr w:rsidR="00745C0B" w:rsidSect="00DF70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5F"/>
    <w:rsid w:val="004B335F"/>
    <w:rsid w:val="007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35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B335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35F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B335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335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B335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335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335F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35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B335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35F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B335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335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B335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335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335F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hyperlink" Target="consultantplus://offline/ref=221F804642B1001FE028AE12858B1F50E5E5F6310A6F346D687042A263C40AA17159943AD320610AAB5BCEE5DDA43F24932708BDF74214E7HDo9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hyperlink" Target="consultantplus://offline/ref=221F804642B1001FE028AE12858B1F50E5E5F6310A6F346D687042A263C40AA17159943AD3216708A95BCEE5DDA43F24932708BDF74214E7HDo9G" TargetMode="External"/><Relationship Id="rId42" Type="http://schemas.openxmlformats.org/officeDocument/2006/relationships/image" Target="media/image24.wmf"/><Relationship Id="rId47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yperlink" Target="consultantplus://offline/ref=221F804642B1001FE028AE12858B1F50E5E5F6310A6F346D687042A263C40AA17159943AD321610BA95BCEE5DDA43F24932708BDF74214E7HDo9G" TargetMode="External"/><Relationship Id="rId38" Type="http://schemas.openxmlformats.org/officeDocument/2006/relationships/hyperlink" Target="consultantplus://offline/ref=221F804642B1001FE028AE12858B1F50E5E5F6310A6F346D687042A263C40AA17159943AD320600CAC5BCEE5DDA43F24932708BDF74214E7HDo9G" TargetMode="External"/><Relationship Id="rId46" Type="http://schemas.openxmlformats.org/officeDocument/2006/relationships/image" Target="media/image27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1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21F804642B1001FE028AE12858B1F50E4EDF63B0A6F346D687042A263C40AA17159943AD3256A0EAD5BCEE5DDA43F24932708BDF74214E7HDo9G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hyperlink" Target="consultantplus://offline/ref=221F804642B1001FE028AE12858B1F50E5E5F6310A6F346D687042A263C40AA17159943AD321610DA85BCEE5DDA43F24932708BDF74214E7HDo9G" TargetMode="External"/><Relationship Id="rId37" Type="http://schemas.openxmlformats.org/officeDocument/2006/relationships/hyperlink" Target="consultantplus://offline/ref=221F804642B1001FE028AE12858B1F50E5E5F6310A6F346D687042A263C40AA17159943AD320620FAB5BCEE5DDA43F24932708BDF74214E7HDo9G" TargetMode="External"/><Relationship Id="rId40" Type="http://schemas.openxmlformats.org/officeDocument/2006/relationships/image" Target="media/image22.wmf"/><Relationship Id="rId45" Type="http://schemas.openxmlformats.org/officeDocument/2006/relationships/hyperlink" Target="consultantplus://offline/ref=221F804642B1001FE028AE12858B1F50E5E5F231076E346D687042A263C40AA17159943AD325670AAC5BCEE5DDA43F24932708BDF74214E7HDo9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hyperlink" Target="consultantplus://offline/ref=221F804642B1001FE028AE12858B1F50E5E4F33C0867346D687042A263C40AA17159943AD325650FAF5BCEE5DDA43F24932708BDF74214E7HDo9G" TargetMode="External"/><Relationship Id="rId36" Type="http://schemas.openxmlformats.org/officeDocument/2006/relationships/hyperlink" Target="consultantplus://offline/ref=221F804642B1001FE028AE12858B1F50E5E5F6310A6F346D687042A263C40AA17159943AD3216504AE5BCEE5DDA43F24932708BDF74214E7HDo9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hyperlink" Target="consultantplus://offline/ref=221F804642B1001FE028AE12858B1F50E5E5F6310A6F346D687042A263C40AA17159943AD3266B0CA85BCEE5DDA43F24932708BDF74214E7HDo9G" TargetMode="External"/><Relationship Id="rId44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yperlink" Target="consultantplus://offline/ref=221F804642B1001FE028AE12858B1F50E5E4F33C0867346D687042A263C40AA17159943AD325650FAF5BCEE5DDA43F24932708BDF74214E7HDo9G" TargetMode="External"/><Relationship Id="rId30" Type="http://schemas.openxmlformats.org/officeDocument/2006/relationships/hyperlink" Target="consultantplus://offline/ref=221F804642B1001FE028AE12858B1F50E5E5F6310A6F346D687042A263C40AA17159943AD326620CAA5BCEE5DDA43F24932708BDF74214E7HDo9G" TargetMode="External"/><Relationship Id="rId35" Type="http://schemas.openxmlformats.org/officeDocument/2006/relationships/hyperlink" Target="consultantplus://offline/ref=221F804642B1001FE028AE12858B1F50E5E5F6310A6F346D687042A263C40AA17159943AD321650FAD5BCEE5DDA43F24932708BDF74214E7HDo9G" TargetMode="External"/><Relationship Id="rId43" Type="http://schemas.openxmlformats.org/officeDocument/2006/relationships/image" Target="media/image25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7414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 Сергеевна</dc:creator>
  <cp:lastModifiedBy>Макарова Ольга Сергеевна</cp:lastModifiedBy>
  <cp:revision>1</cp:revision>
  <dcterms:created xsi:type="dcterms:W3CDTF">2021-10-26T06:40:00Z</dcterms:created>
  <dcterms:modified xsi:type="dcterms:W3CDTF">2021-10-26T06:42:00Z</dcterms:modified>
</cp:coreProperties>
</file>